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sz w:val="44"/>
          <w:szCs w:val="44"/>
          <w:lang w:eastAsia="zh-CN"/>
        </w:rPr>
      </w:pPr>
      <w:r>
        <w:rPr>
          <w:rFonts w:hint="eastAsia" w:ascii="宋体" w:hAnsi="宋体"/>
          <w:b/>
          <w:sz w:val="44"/>
          <w:szCs w:val="44"/>
          <w:lang w:eastAsia="zh-CN"/>
        </w:rPr>
        <w:t>会同县住房和城乡建设局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2022</w:t>
      </w:r>
      <w:r>
        <w:rPr>
          <w:rFonts w:hint="eastAsia" w:ascii="宋体" w:hAnsi="宋体"/>
          <w:b/>
          <w:sz w:val="44"/>
          <w:szCs w:val="44"/>
        </w:rPr>
        <w:t>年</w:t>
      </w:r>
      <w:r>
        <w:rPr>
          <w:rFonts w:hint="eastAsia" w:ascii="宋体" w:hAnsi="宋体"/>
          <w:b/>
          <w:sz w:val="44"/>
          <w:szCs w:val="44"/>
          <w:lang w:eastAsia="zh-CN"/>
        </w:rPr>
        <w:t>度整体绩效</w:t>
      </w:r>
      <w:r>
        <w:rPr>
          <w:rFonts w:hint="eastAsia" w:ascii="宋体" w:hAnsi="宋体"/>
          <w:b/>
          <w:sz w:val="44"/>
          <w:szCs w:val="44"/>
        </w:rPr>
        <w:t>和</w:t>
      </w:r>
      <w:r>
        <w:rPr>
          <w:rFonts w:hint="eastAsia" w:ascii="宋体" w:hAnsi="宋体"/>
          <w:b/>
          <w:sz w:val="44"/>
          <w:szCs w:val="44"/>
          <w:lang w:eastAsia="zh-CN"/>
        </w:rPr>
        <w:t>项目绩效自评情况公开</w:t>
      </w:r>
    </w:p>
    <w:p>
      <w:pPr>
        <w:jc w:val="center"/>
        <w:rPr>
          <w:rFonts w:hint="eastAsia" w:ascii="仿宋_GB2312" w:hAnsi="宋体" w:eastAsia="仿宋_GB2312"/>
          <w:b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根据《关于开展202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年度本级财政资金绩效自评工作的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通知</w:t>
      </w:r>
      <w:r>
        <w:rPr>
          <w:rFonts w:hint="eastAsia" w:ascii="仿宋" w:hAnsi="仿宋" w:eastAsia="仿宋" w:cs="仿宋"/>
          <w:sz w:val="32"/>
          <w:szCs w:val="32"/>
        </w:rPr>
        <w:t>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（会绩效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[2023］11号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我单位拟公开20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度一般公共支出整体绩效和专项资金预算绩效情况，公开如下：</w:t>
      </w:r>
    </w:p>
    <w:p>
      <w:pPr>
        <w:spacing w:line="360" w:lineRule="auto"/>
        <w:ind w:firstLine="594" w:firstLineChars="185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一、基本情况</w:t>
      </w:r>
    </w:p>
    <w:p>
      <w:pPr>
        <w:autoSpaceDN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现有行政编制人员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个，全额拨款事业编制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个，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差额拨款事业编制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25个，</w:t>
      </w:r>
      <w:r>
        <w:rPr>
          <w:rFonts w:hint="eastAsia" w:ascii="仿宋" w:hAnsi="仿宋" w:eastAsia="仿宋" w:cs="仿宋"/>
          <w:sz w:val="32"/>
          <w:szCs w:val="32"/>
        </w:rPr>
        <w:t>自收自支事业编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个，实有在职人数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55</w:t>
      </w:r>
      <w:r>
        <w:rPr>
          <w:rFonts w:hint="eastAsia" w:ascii="仿宋" w:hAnsi="仿宋" w:eastAsia="仿宋" w:cs="仿宋"/>
          <w:sz w:val="32"/>
          <w:szCs w:val="32"/>
        </w:rPr>
        <w:t>人，退休人员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</w:t>
      </w:r>
      <w:r>
        <w:rPr>
          <w:rFonts w:hint="eastAsia" w:ascii="仿宋" w:hAnsi="仿宋" w:eastAsia="仿宋" w:cs="仿宋"/>
          <w:sz w:val="32"/>
          <w:szCs w:val="32"/>
        </w:rPr>
        <w:t>人。有车辆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台，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实有在职人数与编制数相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差</w:t>
      </w: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14个（其中</w:t>
      </w:r>
      <w:r>
        <w:rPr>
          <w:rFonts w:hint="eastAsia" w:ascii="仿宋" w:hAnsi="仿宋" w:eastAsia="仿宋" w:cs="仿宋"/>
          <w:sz w:val="32"/>
          <w:szCs w:val="32"/>
        </w:rPr>
        <w:t>行政编制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1个，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差额拨款事业编制少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12个，</w:t>
      </w:r>
      <w:r>
        <w:rPr>
          <w:rFonts w:hint="eastAsia" w:ascii="仿宋" w:hAnsi="仿宋" w:eastAsia="仿宋" w:cs="仿宋"/>
          <w:sz w:val="32"/>
          <w:szCs w:val="32"/>
        </w:rPr>
        <w:t>自收自支事业编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制少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1个</w:t>
      </w: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。</w:t>
      </w:r>
    </w:p>
    <w:p>
      <w:pPr>
        <w:pStyle w:val="9"/>
        <w:numPr>
          <w:ilvl w:val="0"/>
          <w:numId w:val="0"/>
        </w:numPr>
        <w:shd w:val="clear" w:color="auto" w:fill="FFFFFF"/>
        <w:spacing w:before="0" w:beforeAutospacing="0" w:after="225" w:afterAutospacing="0" w:line="450" w:lineRule="atLeas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b/>
          <w:sz w:val="32"/>
          <w:szCs w:val="32"/>
        </w:rPr>
        <w:t>年初预算安排情况</w:t>
      </w:r>
    </w:p>
    <w:p>
      <w:pPr>
        <w:pStyle w:val="9"/>
        <w:numPr>
          <w:ilvl w:val="0"/>
          <w:numId w:val="0"/>
        </w:numPr>
        <w:shd w:val="clear" w:color="auto" w:fill="FFFFFF"/>
        <w:spacing w:before="0" w:beforeAutospacing="0" w:after="225" w:afterAutospacing="0" w:line="450" w:lineRule="atLeast"/>
        <w:ind w:firstLine="640" w:firstLineChars="200"/>
        <w:rPr>
          <w:rFonts w:hint="eastAsia" w:ascii="仿宋" w:hAnsi="仿宋" w:eastAsia="仿宋" w:cs="仿宋"/>
          <w:spacing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县本级安排住房和城乡建设局预算收入1256.8万元。          一般公共预算安排1256.8万元，其中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基本支出收入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460.8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万元，占县本级年初预算安排收入的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36.66%（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工资福利性支出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390.7万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元、公用经费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70.1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。项目支出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796万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元，占县本级年初预算安排收入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63.34%，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主要围绕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住房的城乡建设各项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工作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及自收自支人员工资福利保障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工作进行安排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其中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传统村落保护发展项目及危房发造工作经费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24万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元、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经常性</w:t>
      </w:r>
      <w:r>
        <w:rPr>
          <w:rFonts w:hint="eastAsia" w:ascii="仿宋" w:hAnsi="仿宋" w:eastAsia="仿宋" w:cs="仿宋"/>
          <w:spacing w:val="-20"/>
          <w:sz w:val="32"/>
          <w:szCs w:val="32"/>
          <w:highlight w:val="none"/>
          <w:lang w:eastAsia="zh-CN"/>
        </w:rPr>
        <w:t>补助</w:t>
      </w:r>
      <w:r>
        <w:rPr>
          <w:rFonts w:hint="eastAsia" w:ascii="仿宋" w:hAnsi="仿宋" w:eastAsia="仿宋" w:cs="仿宋"/>
          <w:spacing w:val="-20"/>
          <w:sz w:val="32"/>
          <w:szCs w:val="32"/>
          <w:highlight w:val="none"/>
          <w:lang w:val="en-US" w:eastAsia="zh-CN"/>
        </w:rPr>
        <w:t>168万</w:t>
      </w:r>
      <w:r>
        <w:rPr>
          <w:rFonts w:hint="eastAsia" w:ascii="仿宋" w:hAnsi="仿宋" w:eastAsia="仿宋" w:cs="仿宋"/>
          <w:spacing w:val="-20"/>
          <w:sz w:val="32"/>
          <w:szCs w:val="32"/>
          <w:highlight w:val="none"/>
        </w:rPr>
        <w:t>元</w:t>
      </w:r>
      <w:r>
        <w:rPr>
          <w:rFonts w:hint="eastAsia" w:ascii="仿宋" w:hAnsi="仿宋" w:eastAsia="仿宋" w:cs="仿宋"/>
          <w:spacing w:val="-20"/>
          <w:sz w:val="32"/>
          <w:szCs w:val="32"/>
          <w:highlight w:val="none"/>
          <w:lang w:eastAsia="zh-CN"/>
        </w:rPr>
        <w:t>、债务还本</w:t>
      </w:r>
      <w:r>
        <w:rPr>
          <w:rFonts w:hint="eastAsia" w:ascii="仿宋" w:hAnsi="仿宋" w:eastAsia="仿宋" w:cs="仿宋"/>
          <w:spacing w:val="-20"/>
          <w:sz w:val="32"/>
          <w:szCs w:val="32"/>
          <w:highlight w:val="none"/>
          <w:lang w:val="en-US" w:eastAsia="zh-CN"/>
        </w:rPr>
        <w:t>500万、</w:t>
      </w:r>
      <w:r>
        <w:rPr>
          <w:rFonts w:hint="eastAsia" w:ascii="仿宋" w:hAnsi="仿宋" w:eastAsia="仿宋" w:cs="仿宋"/>
          <w:spacing w:val="-20"/>
          <w:sz w:val="32"/>
          <w:szCs w:val="32"/>
          <w:highlight w:val="none"/>
          <w:lang w:eastAsia="zh-CN"/>
        </w:rPr>
        <w:t>政府购买施工图审查服务费</w:t>
      </w:r>
      <w:r>
        <w:rPr>
          <w:rFonts w:hint="eastAsia" w:ascii="仿宋" w:hAnsi="仿宋" w:eastAsia="仿宋" w:cs="仿宋"/>
          <w:spacing w:val="-20"/>
          <w:sz w:val="32"/>
          <w:szCs w:val="32"/>
          <w:highlight w:val="none"/>
          <w:lang w:val="en-US" w:eastAsia="zh-CN"/>
        </w:rPr>
        <w:t>80万元、指挥通讯费24万元，</w:t>
      </w:r>
      <w:r>
        <w:rPr>
          <w:rFonts w:hint="eastAsia" w:ascii="仿宋" w:hAnsi="仿宋" w:eastAsia="仿宋" w:cs="仿宋"/>
          <w:spacing w:val="0"/>
          <w:sz w:val="32"/>
          <w:szCs w:val="32"/>
          <w:highlight w:val="none"/>
        </w:rPr>
        <w:t>基本能够保障</w:t>
      </w:r>
      <w:r>
        <w:rPr>
          <w:rFonts w:hint="eastAsia" w:ascii="仿宋" w:hAnsi="仿宋" w:eastAsia="仿宋" w:cs="仿宋"/>
          <w:spacing w:val="0"/>
          <w:sz w:val="32"/>
          <w:szCs w:val="32"/>
          <w:highlight w:val="none"/>
          <w:lang w:eastAsia="zh-CN"/>
        </w:rPr>
        <w:t>县住房和城乡建设局</w:t>
      </w:r>
      <w:r>
        <w:rPr>
          <w:rFonts w:hint="eastAsia" w:ascii="仿宋" w:hAnsi="仿宋" w:eastAsia="仿宋" w:cs="仿宋"/>
          <w:spacing w:val="0"/>
          <w:sz w:val="32"/>
          <w:szCs w:val="32"/>
          <w:highlight w:val="none"/>
        </w:rPr>
        <w:t>履行主要工作职责。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度“三公经费”预算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9.9万元，其中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公务接待费为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8.4万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元、公务用车购置及运行维护费为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1.5万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元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三、</w:t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本年预算执行情况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收入方面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：在实际执行中，县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住房和城乡建设局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全年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总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收入为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11608.99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元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，其中一般公共预算财政拨款收入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5072.04万元，政府性基金财政预算拨款收入6508.31万元，其他收入28.64万元。具体如下：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县本级年初预算拨款收入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640.8万元，其中基本支出收入460.8万（工资福利收入390.7万元、公用经费收入70.1万元）；项目收入180万元（专项工资福利支出155.85万元、商品服务支出收入12.15万元）。 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2、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预算调整收入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4459.88万元 ，其中基本支出收入376.94万元（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人员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工资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及福利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调增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284.96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日常公用经费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调增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91.98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）;项目收入4082.94万元。</w:t>
      </w:r>
    </w:p>
    <w:p>
      <w:pPr>
        <w:pStyle w:val="12"/>
        <w:ind w:left="0" w:leftChars="0"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3、专项资金收入6508.31万元（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auto"/>
        </w:rPr>
        <w:t>污水泵站运行经费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auto"/>
          <w:lang w:val="en-US" w:eastAsia="zh-CN"/>
        </w:rPr>
        <w:t>120万元、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auto"/>
        </w:rPr>
        <w:t>污水处理设施建设和运营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auto"/>
          <w:lang w:val="en-US" w:eastAsia="zh-CN"/>
        </w:rPr>
        <w:t>50万元、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auto"/>
        </w:rPr>
        <w:t>污水处理费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auto"/>
          <w:lang w:val="en-US" w:eastAsia="zh-CN"/>
        </w:rPr>
        <w:t>316.8万元、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auto"/>
        </w:rPr>
        <w:t>污水代征手续费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auto"/>
          <w:lang w:val="en-US" w:eastAsia="zh-CN"/>
        </w:rPr>
        <w:t>21.51万元、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auto"/>
        </w:rPr>
        <w:t>会同县智慧停车场建设项目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auto"/>
          <w:lang w:val="en-US" w:eastAsia="zh-CN"/>
        </w:rPr>
        <w:t>6000万元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 xml:space="preserve">）。 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支出方面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：全年实际支出为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11608.99万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占全年收入的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100%，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财政均按实际支出进度予以拨付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（一）基本支出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837.74万元，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占全年收入的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7.22%，其中年中预算调整收入支出376.94万元，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占全年收入的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3.25%。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工资福利性支出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675.66万元，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占全年收入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5.82%，其中基本工资174.27万元、津贴补贴107.28万元、奖金11.76万元、伙食补助11.62万元、绩效工资47.30万元、机关事业单位养老保险缴费90.78万元、职业年金151.68万元、职工医疗保险24.42万元、其他社会保障缴费1.61万元、其他工资福利支出支出0.56万元、退休费3万元、抚恤金46.26万元、医疗补助2万元、奖励金2.42万元、其他对个人和家庭的补助0.7万元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2、公用经费支出162.08万元，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占全年收入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1.4%，其中办公费5.62万元、印刷费12.49万元、水费1.41万元、电费7.81万元、邮电费0.08万元、差旅费7万元、维护费21.38万元、会议费0.66万元、公务接0.9万元、劳务费29.96万元、委托业务费43.15万元、工会经费16万元、福利费6.28万元、公务用车运行维护费1.08万元、其他交通费3.26万元、办公设备购置5万元。</w:t>
      </w: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（二）项目支出10771.25元，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占全年收入的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92.78%。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县本级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年初预算的项目支出180万元，占全年收入的1.55%，其中：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3D3D3D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" w:hAnsi="仿宋" w:eastAsia="仿宋" w:cs="仿宋"/>
          <w:color w:val="3D3D3D"/>
          <w:sz w:val="32"/>
          <w:szCs w:val="32"/>
          <w:shd w:val="clear" w:color="auto" w:fill="FFFFFF"/>
          <w:lang w:val="en-US" w:eastAsia="zh-CN"/>
        </w:rPr>
        <w:t>1）</w:t>
      </w:r>
      <w:r>
        <w:rPr>
          <w:rFonts w:hint="eastAsia" w:ascii="仿宋" w:hAnsi="仿宋" w:eastAsia="仿宋" w:cs="仿宋"/>
          <w:color w:val="3D3D3D"/>
          <w:sz w:val="32"/>
          <w:szCs w:val="32"/>
          <w:shd w:val="clear" w:color="auto" w:fill="FFFFFF"/>
        </w:rPr>
        <w:t>政府购买施工图审查服务费</w:t>
      </w:r>
      <w:r>
        <w:rPr>
          <w:rFonts w:hint="eastAsia" w:ascii="仿宋" w:hAnsi="仿宋" w:eastAsia="仿宋" w:cs="仿宋"/>
          <w:color w:val="3D3D3D"/>
          <w:sz w:val="32"/>
          <w:szCs w:val="32"/>
          <w:shd w:val="clear" w:color="auto" w:fill="FFFFFF"/>
          <w:lang w:eastAsia="zh-CN"/>
        </w:rPr>
        <w:t>支付</w:t>
      </w:r>
      <w:r>
        <w:rPr>
          <w:rFonts w:hint="eastAsia" w:ascii="仿宋" w:hAnsi="仿宋" w:eastAsia="仿宋" w:cs="仿宋"/>
          <w:color w:val="3D3D3D"/>
          <w:sz w:val="32"/>
          <w:szCs w:val="32"/>
          <w:shd w:val="clear" w:color="auto" w:fill="FFFFFF"/>
          <w:lang w:val="en-US" w:eastAsia="zh-CN"/>
        </w:rPr>
        <w:t>12</w:t>
      </w:r>
      <w:r>
        <w:rPr>
          <w:rFonts w:hint="eastAsia" w:ascii="仿宋" w:hAnsi="仿宋" w:eastAsia="仿宋" w:cs="仿宋"/>
          <w:color w:val="3D3D3D"/>
          <w:sz w:val="32"/>
          <w:szCs w:val="32"/>
          <w:shd w:val="clear" w:color="auto" w:fill="FFFFFF"/>
        </w:rPr>
        <w:t>万元,主要用施工图审费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其中</w:t>
      </w:r>
      <w:r>
        <w:rPr>
          <w:rFonts w:hint="eastAsia" w:ascii="仿宋" w:hAnsi="仿宋" w:eastAsia="仿宋" w:cs="仿宋"/>
          <w:sz w:val="32"/>
          <w:szCs w:val="32"/>
        </w:rPr>
        <w:t>委托业务费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" w:hAnsi="仿宋" w:eastAsia="仿宋" w:cs="仿宋"/>
          <w:color w:val="3D3D3D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3D3D3D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" w:hAnsi="仿宋" w:eastAsia="仿宋" w:cs="仿宋"/>
          <w:color w:val="3D3D3D"/>
          <w:sz w:val="32"/>
          <w:szCs w:val="32"/>
          <w:shd w:val="clear" w:color="auto" w:fill="FFFFFF"/>
          <w:lang w:val="en-US" w:eastAsia="zh-CN"/>
        </w:rPr>
        <w:t>2）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经常性补助支出</w:t>
      </w:r>
      <w:r>
        <w:rPr>
          <w:rFonts w:hint="eastAsia" w:ascii="仿宋" w:hAnsi="仿宋" w:eastAsia="仿宋" w:cs="仿宋"/>
          <w:color w:val="3D3D3D"/>
          <w:sz w:val="32"/>
          <w:szCs w:val="32"/>
          <w:highlight w:val="none"/>
          <w:shd w:val="clear" w:color="auto" w:fill="FFFFFF"/>
          <w:lang w:val="en-US" w:eastAsia="zh-CN"/>
        </w:rPr>
        <w:t>168</w:t>
      </w:r>
      <w:r>
        <w:rPr>
          <w:rFonts w:hint="eastAsia" w:ascii="仿宋" w:hAnsi="仿宋" w:eastAsia="仿宋" w:cs="仿宋"/>
          <w:color w:val="3D3D3D"/>
          <w:sz w:val="32"/>
          <w:szCs w:val="32"/>
          <w:shd w:val="clear" w:color="auto" w:fill="FFFFFF"/>
        </w:rPr>
        <w:t>万元，经常性补助主要用于差额人员的工资</w:t>
      </w:r>
      <w:r>
        <w:rPr>
          <w:rFonts w:hint="eastAsia" w:ascii="仿宋" w:hAnsi="仿宋" w:eastAsia="仿宋" w:cs="仿宋"/>
          <w:color w:val="3D3D3D"/>
          <w:sz w:val="32"/>
          <w:szCs w:val="32"/>
          <w:shd w:val="clear" w:color="auto" w:fill="FFFFFF"/>
          <w:lang w:eastAsia="zh-CN"/>
        </w:rPr>
        <w:t>及行政运行等支出</w:t>
      </w:r>
      <w:r>
        <w:rPr>
          <w:rFonts w:hint="eastAsia" w:ascii="仿宋" w:hAnsi="仿宋" w:eastAsia="仿宋" w:cs="仿宋"/>
          <w:color w:val="3D3D3D"/>
          <w:sz w:val="32"/>
          <w:szCs w:val="32"/>
          <w:shd w:val="clear" w:color="auto" w:fill="FFFFFF"/>
        </w:rPr>
        <w:t>，</w:t>
      </w:r>
      <w:r>
        <w:rPr>
          <w:rFonts w:hint="eastAsia" w:ascii="仿宋" w:hAnsi="仿宋" w:eastAsia="仿宋" w:cs="仿宋"/>
          <w:color w:val="3D3D3D"/>
          <w:sz w:val="32"/>
          <w:szCs w:val="32"/>
          <w:shd w:val="clear" w:color="auto" w:fill="FFFFFF"/>
          <w:lang w:eastAsia="zh-CN"/>
        </w:rPr>
        <w:t>其中</w:t>
      </w:r>
      <w:r>
        <w:rPr>
          <w:rFonts w:hint="eastAsia" w:ascii="仿宋" w:hAnsi="仿宋" w:eastAsia="仿宋" w:cs="仿宋"/>
          <w:color w:val="3D3D3D"/>
          <w:sz w:val="32"/>
          <w:szCs w:val="32"/>
          <w:shd w:val="clear" w:color="auto" w:fill="FFFFFF"/>
        </w:rPr>
        <w:t>基本工资</w:t>
      </w:r>
      <w:r>
        <w:rPr>
          <w:rFonts w:hint="eastAsia" w:ascii="仿宋" w:hAnsi="仿宋" w:eastAsia="仿宋" w:cs="仿宋"/>
          <w:color w:val="3D3D3D"/>
          <w:sz w:val="32"/>
          <w:szCs w:val="32"/>
          <w:shd w:val="clear" w:color="auto" w:fill="FFFFFF"/>
          <w:lang w:val="en-US" w:eastAsia="zh-CN"/>
        </w:rPr>
        <w:t>38.07</w:t>
      </w:r>
      <w:r>
        <w:rPr>
          <w:rFonts w:hint="eastAsia" w:ascii="仿宋" w:hAnsi="仿宋" w:eastAsia="仿宋" w:cs="仿宋"/>
          <w:color w:val="3D3D3D"/>
          <w:sz w:val="32"/>
          <w:szCs w:val="32"/>
          <w:shd w:val="clear" w:color="auto" w:fill="FFFFFF"/>
        </w:rPr>
        <w:t>万元</w:t>
      </w:r>
      <w:r>
        <w:rPr>
          <w:rFonts w:hint="eastAsia" w:ascii="仿宋" w:hAnsi="仿宋" w:eastAsia="仿宋" w:cs="仿宋"/>
          <w:color w:val="3D3D3D"/>
          <w:sz w:val="32"/>
          <w:szCs w:val="32"/>
          <w:shd w:val="clear" w:color="auto" w:fill="FFFFFF"/>
          <w:lang w:eastAsia="zh-CN"/>
        </w:rPr>
        <w:t>、奖金</w:t>
      </w:r>
      <w:r>
        <w:rPr>
          <w:rFonts w:hint="eastAsia" w:ascii="仿宋" w:hAnsi="仿宋" w:eastAsia="仿宋" w:cs="仿宋"/>
          <w:color w:val="3D3D3D"/>
          <w:sz w:val="32"/>
          <w:szCs w:val="32"/>
          <w:shd w:val="clear" w:color="auto" w:fill="FFFFFF"/>
          <w:lang w:val="en-US" w:eastAsia="zh-CN"/>
        </w:rPr>
        <w:t>103.54万元、伙食补助费2.56万元、机关事业单位基本养老保险缴费0.07万元、职业年金缴费6.18万元、职工基本医疗保险缴费2.18万元、其他社会保障缴费0.73万元、其他工资福利支出0.16万元、办公费1.29万元、电费1.25万元、邮电费0.01万元、维修（护）费0.31万元、会议费0.22万元、劳务费2.36万元、福利费3.18万元、退休费1.48万元、地上附奖励金0.22万元、其他对个人和家庭的补助0.66万元、地上附着物和青苗补偿0.15万元、其他资本性支出3.38万元</w:t>
      </w:r>
      <w:r>
        <w:rPr>
          <w:rFonts w:hint="eastAsia" w:ascii="仿宋" w:hAnsi="仿宋" w:eastAsia="仿宋" w:cs="仿宋"/>
          <w:color w:val="3D3D3D"/>
          <w:sz w:val="32"/>
          <w:szCs w:val="32"/>
          <w:shd w:val="clear" w:color="auto" w:fill="FFFFFF"/>
        </w:rPr>
        <w:t>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450" w:lineRule="atLeast"/>
        <w:ind w:left="0" w:right="0" w:firstLine="640" w:firstLineChars="200"/>
        <w:jc w:val="left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2、专项资金支出6508.31万元，占全年收入的56.06%，其中城市环境卫生支出120万元、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color="auto" w:fill="FFFFFF"/>
        </w:rPr>
        <w:t>其他城市基础设施配套费安排的支出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color="auto" w:fill="FFFFFF"/>
          <w:lang w:val="en-US" w:eastAsia="zh-CN"/>
        </w:rPr>
        <w:t>50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万元、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color="auto" w:fill="FFFFFF"/>
        </w:rPr>
        <w:t>污水处理设施建设和运营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color="auto" w:fill="FFFFFF"/>
          <w:lang w:val="en-US" w:eastAsia="zh-CN"/>
        </w:rPr>
        <w:t>316.8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万元、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color="auto" w:fill="FFFFFF"/>
        </w:rPr>
        <w:t>代征手续费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color="auto" w:fill="FFFFFF"/>
          <w:lang w:val="en-US" w:eastAsia="zh-CN"/>
        </w:rPr>
        <w:t>21.51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万元、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其他地方自行试点项目收益专项债券收入安排的支出6000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万元（会同县智慧停车场建设项目）。</w:t>
      </w:r>
    </w:p>
    <w:p>
      <w:pPr>
        <w:pStyle w:val="1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绩效自评</w:t>
      </w:r>
      <w:r>
        <w:rPr>
          <w:rFonts w:hint="eastAsia" w:ascii="仿宋" w:hAnsi="仿宋" w:eastAsia="仿宋" w:cs="仿宋"/>
          <w:sz w:val="32"/>
          <w:szCs w:val="32"/>
        </w:rPr>
        <w:t>公开后，由我单位承担公开主体责任，负责解释和说明。</w:t>
      </w: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8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8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spacing w:line="360" w:lineRule="auto"/>
        <w:ind w:firstLine="592" w:firstLineChars="185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单位：会同县住房和城乡建设局</w:t>
      </w:r>
    </w:p>
    <w:p>
      <w:pPr>
        <w:spacing w:line="360" w:lineRule="auto"/>
        <w:ind w:firstLine="592" w:firstLineChars="185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 xml:space="preserve"> 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53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hMGRmYThiYjE2YTkyN2QyYjBmN2VkYjUwZDJlNjMifQ=="/>
  </w:docVars>
  <w:rsids>
    <w:rsidRoot w:val="00000000"/>
    <w:rsid w:val="01AD071C"/>
    <w:rsid w:val="0FF05033"/>
    <w:rsid w:val="1A1B5468"/>
    <w:rsid w:val="27127D10"/>
    <w:rsid w:val="29BF67BF"/>
    <w:rsid w:val="2B4B3451"/>
    <w:rsid w:val="3218590F"/>
    <w:rsid w:val="3726697A"/>
    <w:rsid w:val="45D25F5C"/>
    <w:rsid w:val="4A7330E1"/>
    <w:rsid w:val="4BDB2B82"/>
    <w:rsid w:val="552828E3"/>
    <w:rsid w:val="5597188D"/>
    <w:rsid w:val="61EF3DF4"/>
    <w:rsid w:val="74CC21B7"/>
    <w:rsid w:val="75127A16"/>
    <w:rsid w:val="756664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</w:style>
  <w:style w:type="paragraph" w:styleId="3">
    <w:name w:val="toc 5"/>
    <w:basedOn w:val="1"/>
    <w:next w:val="1"/>
    <w:autoRedefine/>
    <w:qFormat/>
    <w:uiPriority w:val="0"/>
    <w:pPr>
      <w:ind w:left="1680" w:leftChars="800"/>
    </w:pPr>
    <w:rPr>
      <w:rFonts w:ascii="Times New Roman" w:hAnsi="Times New Roman"/>
    </w:rPr>
  </w:style>
  <w:style w:type="paragraph" w:styleId="4">
    <w:name w:val="Body Text Indent"/>
    <w:basedOn w:val="1"/>
    <w:next w:val="5"/>
    <w:autoRedefine/>
    <w:qFormat/>
    <w:uiPriority w:val="0"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styleId="5">
    <w:name w:val="Body Text First Indent 2"/>
    <w:basedOn w:val="4"/>
    <w:next w:val="1"/>
    <w:autoRedefine/>
    <w:unhideWhenUsed/>
    <w:qFormat/>
    <w:uiPriority w:val="99"/>
    <w:pPr>
      <w:spacing w:after="0"/>
      <w:ind w:firstLine="420" w:firstLineChars="200"/>
    </w:pPr>
    <w:rPr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2"/>
    <w:basedOn w:val="1"/>
    <w:autoRedefine/>
    <w:unhideWhenUsed/>
    <w:qFormat/>
    <w:uiPriority w:val="99"/>
    <w:pPr>
      <w:spacing w:line="360" w:lineRule="auto"/>
    </w:pPr>
    <w:rPr>
      <w:rFonts w:eastAsia="仿宋_GB2312"/>
      <w:sz w:val="32"/>
      <w:szCs w:val="32"/>
    </w:rPr>
  </w:style>
  <w:style w:type="paragraph" w:styleId="9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eastAsia="宋体"/>
      <w:kern w:val="2"/>
      <w:sz w:val="24"/>
      <w:lang w:val="en-US" w:eastAsia="zh-CN" w:bidi="ar-SA"/>
    </w:rPr>
  </w:style>
  <w:style w:type="paragraph" w:customStyle="1" w:styleId="12">
    <w:name w:val="BodyText1I2"/>
    <w:basedOn w:val="13"/>
    <w:next w:val="1"/>
    <w:unhideWhenUsed/>
    <w:qFormat/>
    <w:uiPriority w:val="0"/>
    <w:pPr>
      <w:ind w:firstLine="200" w:firstLineChars="200"/>
    </w:pPr>
    <w:rPr>
      <w:rFonts w:hint="default" w:ascii="Calibri" w:hAnsi="Calibri" w:eastAsia="仿宋_GB2312"/>
      <w:sz w:val="36"/>
    </w:rPr>
  </w:style>
  <w:style w:type="paragraph" w:customStyle="1" w:styleId="13">
    <w:name w:val="BodyTextIndent"/>
    <w:basedOn w:val="1"/>
    <w:unhideWhenUsed/>
    <w:qFormat/>
    <w:uiPriority w:val="0"/>
    <w:pPr>
      <w:spacing w:after="120"/>
      <w:ind w:left="420" w:leftChars="200"/>
      <w:textAlignment w:val="baseline"/>
    </w:pPr>
    <w:rPr>
      <w:rFonts w:hint="eastAsia"/>
      <w:sz w:val="21"/>
      <w:lang w:val="en-US" w:eastAsia="zh-CN"/>
    </w:rPr>
  </w:style>
  <w:style w:type="paragraph" w:customStyle="1" w:styleId="14">
    <w:name w:val="paragraph text-align-type-justify pap-line-15pt pap-line-rule-exact pap-spacing-before-2pt pap-spacing-after-0pt pap-firstline-indent-26pt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1876</Words>
  <Characters>2348</Characters>
  <Lines>0</Lines>
  <Paragraphs>0</Paragraphs>
  <TotalTime>0</TotalTime>
  <ScaleCrop>false</ScaleCrop>
  <LinksUpToDate>false</LinksUpToDate>
  <CharactersWithSpaces>2412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2024-09-06T06:49:01Z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9276B558750442A8852657E794D76916</vt:lpwstr>
  </property>
</Properties>
</file>