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2D408D2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480" w:lineRule="atLeast"/>
        <w:ind w:left="0" w:right="0" w:firstLine="0"/>
        <w:jc w:val="both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附件1</w:t>
      </w:r>
    </w:p>
    <w:p w14:paraId="54FD8059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left="0" w:right="0" w:firstLine="0"/>
        <w:jc w:val="center"/>
        <w:textAlignment w:val="auto"/>
        <w:rPr>
          <w:rFonts w:ascii="方正小标宋_GBK" w:hAnsi="方正小标宋_GBK" w:eastAsia="方正小标宋_GBK" w:cs="方正小标宋_GBK"/>
          <w:i w:val="0"/>
          <w:iCs w:val="0"/>
          <w:caps w:val="0"/>
          <w:color w:val="000000"/>
          <w:spacing w:val="0"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i w:val="0"/>
          <w:iCs w:val="0"/>
          <w:caps w:val="0"/>
          <w:color w:val="000000"/>
          <w:spacing w:val="0"/>
          <w:sz w:val="44"/>
          <w:szCs w:val="44"/>
          <w:shd w:val="clear" w:color="auto" w:fill="FFFFFF"/>
        </w:rPr>
        <w:t>部门整体支出绩效自评报告</w:t>
      </w:r>
    </w:p>
    <w:p w14:paraId="51241D33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left="0" w:right="0" w:firstLine="0"/>
        <w:jc w:val="center"/>
        <w:textAlignment w:val="auto"/>
        <w:rPr>
          <w:rFonts w:ascii="仿宋_GB2312" w:eastAsia="仿宋_GB2312" w:cs="仿宋_GB2312"/>
          <w:i w:val="0"/>
          <w:iCs w:val="0"/>
          <w:caps w:val="0"/>
          <w:color w:val="000000"/>
          <w:spacing w:val="0"/>
          <w:sz w:val="24"/>
          <w:szCs w:val="24"/>
        </w:rPr>
      </w:pPr>
    </w:p>
    <w:p w14:paraId="4EA4C961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left="0" w:right="0" w:firstLine="0"/>
        <w:jc w:val="center"/>
        <w:textAlignment w:val="auto"/>
        <w:rPr>
          <w:rFonts w:ascii="仿宋_GB2312" w:eastAsia="仿宋_GB2312" w:cs="仿宋_GB2312"/>
          <w:i w:val="0"/>
          <w:iCs w:val="0"/>
          <w:caps w:val="0"/>
          <w:color w:val="000000"/>
          <w:spacing w:val="0"/>
          <w:sz w:val="24"/>
          <w:szCs w:val="24"/>
        </w:rPr>
      </w:pPr>
    </w:p>
    <w:p w14:paraId="57D187F8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640" w:firstLineChars="200"/>
        <w:textAlignment w:val="auto"/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sz w:val="32"/>
          <w:szCs w:val="32"/>
        </w:rPr>
      </w:pPr>
      <w:r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一、部门、单位基本情况</w:t>
      </w:r>
    </w:p>
    <w:p w14:paraId="7143A391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548" w:firstLineChars="200"/>
        <w:textAlignment w:val="auto"/>
        <w:rPr>
          <w:rFonts w:hint="default" w:ascii="楷体_GB2312" w:eastAsia="楷体_GB2312" w:cs="楷体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</w:pPr>
      <w:r>
        <w:rPr>
          <w:rFonts w:hint="default" w:ascii="楷体_GB2312" w:eastAsia="楷体_GB2312" w:cs="楷体_GB2312"/>
          <w:i w:val="0"/>
          <w:iCs w:val="0"/>
          <w:caps w:val="0"/>
          <w:color w:val="000000"/>
          <w:spacing w:val="-23"/>
          <w:sz w:val="32"/>
          <w:szCs w:val="32"/>
          <w:shd w:val="clear" w:color="auto" w:fill="FFFFFF"/>
        </w:rPr>
        <w:t>（一）</w:t>
      </w:r>
      <w:r>
        <w:rPr>
          <w:rFonts w:hint="default" w:ascii="楷体_GB2312" w:eastAsia="楷体_GB2312" w:cs="楷体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机构设置情况</w:t>
      </w:r>
    </w:p>
    <w:p w14:paraId="6F6F7AA2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640" w:firstLineChars="200"/>
        <w:textAlignment w:val="auto"/>
        <w:rPr>
          <w:rFonts w:hint="default" w:ascii="楷体_GB2312" w:eastAsia="楷体_GB2312" w:cs="楷体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</w:pPr>
      <w:r>
        <w:rPr>
          <w:rFonts w:hint="eastAsia" w:ascii="仿宋" w:hAnsi="仿宋" w:eastAsia="仿宋" w:cs="仿宋"/>
          <w:sz w:val="32"/>
          <w:szCs w:val="32"/>
        </w:rPr>
        <w:t>本部门有内设机构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7</w:t>
      </w:r>
      <w:r>
        <w:rPr>
          <w:rFonts w:hint="eastAsia" w:ascii="仿宋" w:hAnsi="仿宋" w:eastAsia="仿宋" w:cs="仿宋"/>
          <w:sz w:val="32"/>
          <w:szCs w:val="32"/>
        </w:rPr>
        <w:t>个，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分别</w:t>
      </w:r>
      <w:r>
        <w:rPr>
          <w:rFonts w:hint="eastAsia" w:ascii="仿宋" w:hAnsi="仿宋" w:eastAsia="仿宋" w:cs="仿宋"/>
          <w:sz w:val="32"/>
          <w:szCs w:val="32"/>
        </w:rPr>
        <w:t>为：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</w:rPr>
        <w:t>办公室、</w:t>
      </w:r>
      <w:r>
        <w:rPr>
          <w:rFonts w:hint="eastAsia" w:ascii="仿宋" w:hAnsi="仿宋" w:eastAsia="仿宋" w:cs="仿宋"/>
          <w:sz w:val="32"/>
          <w:szCs w:val="32"/>
        </w:rPr>
        <w:t>办信股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、</w:t>
      </w:r>
      <w:r>
        <w:rPr>
          <w:rFonts w:hint="eastAsia" w:ascii="仿宋" w:hAnsi="仿宋" w:eastAsia="仿宋" w:cs="仿宋"/>
          <w:sz w:val="32"/>
          <w:szCs w:val="32"/>
        </w:rPr>
        <w:t>接访股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、</w:t>
      </w:r>
      <w:r>
        <w:rPr>
          <w:rFonts w:hint="eastAsia" w:ascii="仿宋" w:hAnsi="仿宋" w:eastAsia="仿宋" w:cs="仿宋"/>
          <w:sz w:val="32"/>
          <w:szCs w:val="32"/>
        </w:rPr>
        <w:t>政策法规股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、</w:t>
      </w:r>
      <w:r>
        <w:rPr>
          <w:rFonts w:hint="eastAsia" w:ascii="仿宋" w:hAnsi="仿宋" w:eastAsia="仿宋" w:cs="仿宋"/>
          <w:sz w:val="32"/>
          <w:szCs w:val="32"/>
        </w:rPr>
        <w:t>综合督查股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、</w:t>
      </w:r>
      <w:r>
        <w:rPr>
          <w:rFonts w:hint="eastAsia" w:ascii="仿宋" w:hAnsi="仿宋" w:eastAsia="仿宋" w:cs="仿宋"/>
          <w:sz w:val="32"/>
          <w:szCs w:val="32"/>
        </w:rPr>
        <w:t>劝返股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、网络投诉在心中</w:t>
      </w:r>
      <w:r>
        <w:rPr>
          <w:rFonts w:hint="eastAsia" w:ascii="新宋体" w:hAnsi="新宋体" w:eastAsia="新宋体" w:cs="新宋体"/>
          <w:sz w:val="32"/>
          <w:szCs w:val="32"/>
          <w:lang w:eastAsia="zh-CN"/>
        </w:rPr>
        <w:t>。</w:t>
      </w:r>
    </w:p>
    <w:p w14:paraId="32B41B43">
      <w:pPr>
        <w:pStyle w:val="3"/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640" w:firstLineChars="200"/>
        <w:textAlignment w:val="auto"/>
        <w:rPr>
          <w:rFonts w:hint="default" w:ascii="楷体_GB2312" w:eastAsia="楷体_GB2312" w:cs="楷体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</w:pPr>
      <w:r>
        <w:rPr>
          <w:rFonts w:hint="default" w:ascii="楷体_GB2312" w:eastAsia="楷体_GB2312" w:cs="楷体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人员编制情况</w:t>
      </w:r>
    </w:p>
    <w:p w14:paraId="1FA714E6">
      <w:pPr>
        <w:pStyle w:val="3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rightChars="0" w:firstLine="640" w:firstLineChars="200"/>
        <w:textAlignment w:val="auto"/>
        <w:rPr>
          <w:rFonts w:hint="eastAsia" w:ascii="楷体_GB2312" w:eastAsia="楷体_GB2312" w:cs="楷体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" w:hAnsi="仿宋" w:eastAsia="仿宋" w:cs="仿宋"/>
          <w:i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现有编制13名（包括</w:t>
      </w:r>
      <w:r>
        <w:rPr>
          <w:rFonts w:hint="eastAsia" w:ascii="仿宋" w:hAnsi="仿宋" w:eastAsia="仿宋" w:cs="仿宋"/>
          <w:sz w:val="32"/>
          <w:szCs w:val="32"/>
        </w:rPr>
        <w:t>行政编制人员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6人</w:t>
      </w:r>
      <w:r>
        <w:rPr>
          <w:rFonts w:hint="eastAsia" w:ascii="仿宋" w:hAnsi="仿宋" w:eastAsia="仿宋" w:cs="仿宋"/>
          <w:i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，</w:t>
      </w:r>
      <w:r>
        <w:rPr>
          <w:rFonts w:hint="eastAsia" w:ascii="仿宋" w:hAnsi="仿宋" w:eastAsia="仿宋" w:cs="仿宋"/>
          <w:sz w:val="32"/>
          <w:szCs w:val="32"/>
        </w:rPr>
        <w:t>全额拨款事业编制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6</w:t>
      </w:r>
      <w:r>
        <w:rPr>
          <w:rFonts w:hint="eastAsia" w:ascii="仿宋" w:hAnsi="仿宋" w:eastAsia="仿宋" w:cs="仿宋"/>
          <w:sz w:val="32"/>
          <w:szCs w:val="32"/>
        </w:rPr>
        <w:t>个，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工勤</w:t>
      </w:r>
      <w:r>
        <w:rPr>
          <w:rFonts w:hint="eastAsia" w:ascii="仿宋" w:hAnsi="仿宋" w:eastAsia="仿宋" w:cs="仿宋"/>
          <w:sz w:val="32"/>
          <w:szCs w:val="32"/>
        </w:rPr>
        <w:t>编制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1人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）</w:t>
      </w:r>
      <w:r>
        <w:rPr>
          <w:rFonts w:hint="eastAsia" w:ascii="仿宋" w:hAnsi="仿宋" w:eastAsia="仿宋" w:cs="仿宋"/>
          <w:i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，在职人数12人，其中</w:t>
      </w:r>
      <w:r>
        <w:rPr>
          <w:rFonts w:hint="eastAsia" w:ascii="仿宋" w:hAnsi="仿宋" w:eastAsia="仿宋" w:cs="仿宋"/>
          <w:sz w:val="32"/>
          <w:szCs w:val="32"/>
        </w:rPr>
        <w:t>行政编制人员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5人</w:t>
      </w:r>
      <w:r>
        <w:rPr>
          <w:rFonts w:hint="eastAsia" w:ascii="仿宋" w:hAnsi="仿宋" w:eastAsia="仿宋" w:cs="仿宋"/>
          <w:i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，</w:t>
      </w:r>
      <w:r>
        <w:rPr>
          <w:rFonts w:hint="eastAsia" w:ascii="仿宋" w:hAnsi="仿宋" w:eastAsia="仿宋" w:cs="仿宋"/>
          <w:sz w:val="32"/>
          <w:szCs w:val="32"/>
        </w:rPr>
        <w:t>全额拨款事业编制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6</w:t>
      </w:r>
      <w:r>
        <w:rPr>
          <w:rFonts w:hint="eastAsia" w:ascii="仿宋" w:hAnsi="仿宋" w:eastAsia="仿宋" w:cs="仿宋"/>
          <w:sz w:val="32"/>
          <w:szCs w:val="32"/>
        </w:rPr>
        <w:t>个，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工勤</w:t>
      </w:r>
      <w:r>
        <w:rPr>
          <w:rFonts w:hint="eastAsia" w:ascii="仿宋" w:hAnsi="仿宋" w:eastAsia="仿宋" w:cs="仿宋"/>
          <w:sz w:val="32"/>
          <w:szCs w:val="32"/>
        </w:rPr>
        <w:t>编制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1人，</w:t>
      </w:r>
      <w:r>
        <w:rPr>
          <w:rFonts w:hint="eastAsia" w:ascii="仿宋" w:hAnsi="仿宋" w:eastAsia="仿宋" w:cs="仿宋"/>
          <w:i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退休人员4人。</w:t>
      </w:r>
    </w:p>
    <w:p w14:paraId="0018AD8C">
      <w:pPr>
        <w:pStyle w:val="3"/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left="0" w:leftChars="0" w:right="0" w:firstLine="640" w:firstLineChars="200"/>
        <w:textAlignment w:val="auto"/>
        <w:rPr>
          <w:rFonts w:hint="default" w:ascii="楷体_GB2312" w:eastAsia="楷体_GB2312" w:cs="楷体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</w:pPr>
      <w:r>
        <w:rPr>
          <w:rFonts w:hint="default" w:ascii="楷体_GB2312" w:eastAsia="楷体_GB2312" w:cs="楷体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主要职能职责</w:t>
      </w:r>
    </w:p>
    <w:p w14:paraId="1BFAA658">
      <w:pPr>
        <w:snapToGrid/>
        <w:spacing w:before="0" w:beforeAutospacing="0" w:after="0" w:afterAutospacing="0" w:line="600" w:lineRule="exact"/>
        <w:ind w:firstLine="640" w:firstLineChars="200"/>
        <w:jc w:val="both"/>
        <w:textAlignment w:val="baseline"/>
        <w:rPr>
          <w:rFonts w:hint="default" w:ascii="楷体_GB2312" w:eastAsia="楷体_GB2312" w:cs="楷体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</w:pPr>
      <w:r>
        <w:rPr>
          <w:rStyle w:val="9"/>
          <w:rFonts w:hint="eastAsia" w:ascii="仿宋" w:hAnsi="仿宋" w:eastAsia="仿宋" w:cs="仿宋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  <w:t>①负责全县矛盾纠纷的排查，组织、指导乡镇和县直单位对全县矛盾纠纷排查进行有效调处；②受理群众来信、来访（电），为群众提供法律政策咨询和法律援助； ③负责各种上访问题的接访、分流、劝返及处理；④负责突发性、群体性事件的处置；⑤负责组织特别防护期的值班备勤安排；⑥协调人民调解、司法调解、行政调解“三位一体”的对接联动，对重大疑难矛盾纠纷直接组织调解处理；⑦负责信访案件或事项的复查复核；⑧及时调度、掌握全县维稳动态，向县委、县人民政府反映社会稳定工作信息，定期分析并通报辖区内矛盾纠纷调处工作情况，总结推广先进典型经验；⑨对重大、复杂、疑难矛盾纠纷和群众关心的热点、难点问题组织听证；⑩完成上级和县委、县人民政府领导交办的其</w:t>
      </w:r>
      <w:r>
        <w:rPr>
          <w:rStyle w:val="9"/>
          <w:rFonts w:ascii="仿宋_GB2312" w:hAnsi="仿宋" w:eastAsia="仿宋_GB2312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  <w:t>他任务。</w:t>
      </w:r>
    </w:p>
    <w:p w14:paraId="45C8EAF6">
      <w:pPr>
        <w:pStyle w:val="3"/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left="0" w:leftChars="0" w:right="0" w:firstLine="640" w:firstLineChars="200"/>
        <w:textAlignment w:val="auto"/>
        <w:rPr>
          <w:rFonts w:hint="default" w:ascii="楷体_GB2312" w:eastAsia="楷体_GB2312" w:cs="楷体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</w:pPr>
      <w:r>
        <w:rPr>
          <w:rFonts w:hint="default" w:ascii="楷体_GB2312" w:eastAsia="楷体_GB2312" w:cs="楷体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绩效目标设定情况</w:t>
      </w:r>
    </w:p>
    <w:p w14:paraId="7263C479">
      <w:pPr>
        <w:ind w:firstLine="960" w:firstLineChars="300"/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确保全县信访维稳工作的正常运转，</w:t>
      </w:r>
      <w:r>
        <w:rPr>
          <w:rFonts w:hint="eastAsia" w:ascii="仿宋" w:hAnsi="仿宋" w:eastAsia="仿宋" w:cs="仿宋"/>
          <w:sz w:val="32"/>
          <w:szCs w:val="32"/>
        </w:rPr>
        <w:t>负责处理人民群众给县委、县人民政府的来信(含网上信访)，接待群众上访，为领导同志接待上访群众做好组织服务工作；综合分析信访信息，及时、准确地向县委、县人民政府领导同志反映来信来访中提出的重要建议、意见和问题，保证信访渠道畅通。</w:t>
      </w:r>
    </w:p>
    <w:p w14:paraId="244BADA4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firstLine="640" w:firstLineChars="200"/>
        <w:textAlignment w:val="auto"/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二、部门整体支出管理及使用情况</w:t>
      </w:r>
    </w:p>
    <w:p w14:paraId="2BD25FFA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548" w:firstLineChars="200"/>
        <w:textAlignment w:val="auto"/>
        <w:rPr>
          <w:rFonts w:hint="eastAsia" w:ascii="楷体_GB2312" w:eastAsia="楷体_GB2312" w:cs="楷体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</w:pPr>
      <w:r>
        <w:rPr>
          <w:rFonts w:hint="default" w:ascii="楷体_GB2312" w:hAnsi="Times New Roman" w:eastAsia="楷体_GB2312" w:cs="楷体_GB2312"/>
          <w:i w:val="0"/>
          <w:iCs w:val="0"/>
          <w:caps w:val="0"/>
          <w:color w:val="000000"/>
          <w:spacing w:val="-23"/>
          <w:sz w:val="32"/>
          <w:szCs w:val="32"/>
          <w:shd w:val="clear" w:color="auto" w:fill="FFFFFF"/>
        </w:rPr>
        <w:t>（一）</w:t>
      </w:r>
      <w:r>
        <w:rPr>
          <w:rFonts w:hint="eastAsia" w:ascii="楷体_GB2312" w:eastAsia="楷体_GB2312" w:cs="楷体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预算执行、使用、管理总体情况。</w:t>
      </w:r>
    </w:p>
    <w:p w14:paraId="41C080D0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pacing w:line="460" w:lineRule="exact"/>
        <w:ind w:firstLine="643" w:firstLineChars="200"/>
        <w:textAlignment w:val="auto"/>
        <w:rPr>
          <w:rFonts w:hint="default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总收支情况：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2023年本级总收入3742231.69元：其中</w:t>
      </w:r>
      <w:r>
        <w:rPr>
          <w:rFonts w:hint="eastAsia" w:ascii="仿宋" w:hAnsi="仿宋" w:eastAsia="仿宋" w:cs="仿宋"/>
          <w:b w:val="0"/>
          <w:bCs/>
          <w:sz w:val="32"/>
          <w:szCs w:val="32"/>
          <w:lang w:val="en-US" w:eastAsia="zh-CN"/>
        </w:rPr>
        <w:t>一般公共预算财政拨款收入3742231.69元。</w:t>
      </w:r>
      <w:r>
        <w:rPr>
          <w:rFonts w:hint="eastAsia" w:ascii="仿宋" w:hAnsi="仿宋" w:eastAsia="仿宋" w:cs="仿宋"/>
          <w:sz w:val="32"/>
          <w:szCs w:val="32"/>
        </w:rPr>
        <w:t>全年实际支出为3742231.69元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。</w:t>
      </w:r>
    </w:p>
    <w:p w14:paraId="789C1F61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pacing w:line="460" w:lineRule="exact"/>
        <w:ind w:firstLine="643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收入方面：</w:t>
      </w:r>
      <w:r>
        <w:rPr>
          <w:rFonts w:hint="eastAsia" w:ascii="仿宋" w:hAnsi="仿宋" w:eastAsia="仿宋" w:cs="仿宋"/>
          <w:sz w:val="32"/>
          <w:szCs w:val="32"/>
        </w:rPr>
        <w:t>在实际执行中，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2023年本级总收入3742231.69元：其中</w:t>
      </w:r>
      <w:r>
        <w:rPr>
          <w:rFonts w:hint="eastAsia" w:ascii="仿宋" w:hAnsi="仿宋" w:eastAsia="仿宋" w:cs="仿宋"/>
          <w:b w:val="0"/>
          <w:bCs/>
          <w:sz w:val="32"/>
          <w:szCs w:val="32"/>
          <w:lang w:val="en-US" w:eastAsia="zh-CN"/>
        </w:rPr>
        <w:t>2023年一般公共预算财政拨款收入3742231.69元，</w:t>
      </w:r>
      <w:r>
        <w:rPr>
          <w:rFonts w:hint="eastAsia" w:ascii="仿宋" w:hAnsi="仿宋" w:eastAsia="仿宋" w:cs="仿宋"/>
          <w:sz w:val="32"/>
          <w:szCs w:val="32"/>
        </w:rPr>
        <w:t>本级财政拨入3742231.69元，比年初预算追加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934631.69</w:t>
      </w:r>
      <w:r>
        <w:rPr>
          <w:rFonts w:hint="eastAsia" w:ascii="仿宋" w:hAnsi="仿宋" w:eastAsia="仿宋" w:cs="仿宋"/>
          <w:sz w:val="32"/>
          <w:szCs w:val="32"/>
        </w:rPr>
        <w:t>元，主要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是维稳专项资金</w:t>
      </w:r>
      <w:r>
        <w:rPr>
          <w:rFonts w:hint="eastAsia" w:ascii="仿宋" w:hAnsi="仿宋" w:eastAsia="仿宋" w:cs="仿宋"/>
          <w:sz w:val="32"/>
          <w:szCs w:val="32"/>
        </w:rPr>
        <w:t>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743893.83元。</w:t>
      </w:r>
    </w:p>
    <w:p w14:paraId="4318C51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440" w:lineRule="exact"/>
        <w:ind w:firstLine="643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sz w:val="32"/>
          <w:szCs w:val="32"/>
        </w:rPr>
        <w:t>支出方面</w:t>
      </w:r>
      <w:r>
        <w:rPr>
          <w:rFonts w:hint="eastAsia" w:ascii="仿宋" w:hAnsi="仿宋" w:eastAsia="仿宋" w:cs="仿宋"/>
          <w:sz w:val="32"/>
          <w:szCs w:val="32"/>
        </w:rPr>
        <w:t>：全年实际支出为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3742231.69</w:t>
      </w:r>
      <w:r>
        <w:rPr>
          <w:rFonts w:hint="eastAsia" w:ascii="仿宋" w:hAnsi="仿宋" w:eastAsia="仿宋" w:cs="仿宋"/>
          <w:sz w:val="32"/>
          <w:szCs w:val="32"/>
        </w:rPr>
        <w:t>元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，年终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结转和结余0元。</w:t>
      </w:r>
    </w:p>
    <w:p w14:paraId="40695497">
      <w:pPr>
        <w:snapToGrid w:val="0"/>
        <w:spacing w:beforeLines="0" w:afterLines="0" w:line="480" w:lineRule="exact"/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其中基本支出1970337.86元：</w:t>
      </w:r>
    </w:p>
    <w:p w14:paraId="5521628D">
      <w:pPr>
        <w:snapToGrid w:val="0"/>
        <w:spacing w:beforeLines="0" w:afterLines="0" w:line="480" w:lineRule="exact"/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fldChar w:fldCharType="begin"/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instrText xml:space="preserve"> = 1 \* GB2 \* MERGEFORMAT </w:instrTex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fldChar w:fldCharType="separate"/>
      </w:r>
      <w:r>
        <w:rPr>
          <w:rFonts w:hint="eastAsia" w:ascii="仿宋" w:hAnsi="仿宋" w:eastAsia="仿宋" w:cs="仿宋"/>
          <w:sz w:val="32"/>
          <w:szCs w:val="32"/>
        </w:rPr>
        <w:t>⑴</w:t>
      </w:r>
      <w:r>
        <w:rPr>
          <w:rFonts w:hint="eastAsia" w:ascii="仿宋" w:hAnsi="仿宋" w:eastAsia="仿宋" w:cs="仿宋"/>
          <w:sz w:val="32"/>
          <w:szCs w:val="32"/>
        </w:rPr>
        <w:fldChar w:fldCharType="end"/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、工资福利支出1439256.86元。</w:t>
      </w:r>
    </w:p>
    <w:p w14:paraId="377B6A44">
      <w:pPr>
        <w:snapToGrid w:val="0"/>
        <w:spacing w:beforeLines="0" w:afterLines="0" w:line="480" w:lineRule="exact"/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fldChar w:fldCharType="begin"/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instrText xml:space="preserve"> = 2 \* GB2 \* MERGEFORMAT </w:instrTex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fldChar w:fldCharType="separate"/>
      </w:r>
      <w:r>
        <w:rPr>
          <w:rFonts w:hint="eastAsia" w:ascii="仿宋" w:hAnsi="仿宋" w:eastAsia="仿宋" w:cs="仿宋"/>
          <w:sz w:val="32"/>
          <w:szCs w:val="32"/>
        </w:rPr>
        <w:t>⑵</w:t>
      </w:r>
      <w:r>
        <w:rPr>
          <w:rFonts w:hint="eastAsia" w:ascii="仿宋" w:hAnsi="仿宋" w:eastAsia="仿宋" w:cs="仿宋"/>
          <w:sz w:val="32"/>
          <w:szCs w:val="32"/>
        </w:rPr>
        <w:fldChar w:fldCharType="end"/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、商品和服务支出513321.00元。</w:t>
      </w:r>
    </w:p>
    <w:p w14:paraId="3456D360">
      <w:pPr>
        <w:snapToGrid w:val="0"/>
        <w:spacing w:beforeLines="0" w:afterLines="0" w:line="480" w:lineRule="exact"/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fldChar w:fldCharType="begin"/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instrText xml:space="preserve"> = 3 \* GB2 \* MERGEFORMAT </w:instrTex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fldChar w:fldCharType="separate"/>
      </w:r>
      <w:r>
        <w:rPr>
          <w:rFonts w:hint="eastAsia" w:ascii="仿宋" w:hAnsi="仿宋" w:eastAsia="仿宋" w:cs="仿宋"/>
          <w:sz w:val="32"/>
          <w:szCs w:val="32"/>
        </w:rPr>
        <w:t>⑶</w:t>
      </w:r>
      <w:r>
        <w:rPr>
          <w:rFonts w:hint="eastAsia" w:ascii="仿宋" w:hAnsi="仿宋" w:eastAsia="仿宋" w:cs="仿宋"/>
          <w:sz w:val="32"/>
          <w:szCs w:val="32"/>
        </w:rPr>
        <w:fldChar w:fldCharType="end"/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、对个人和家庭支出17760.00元。</w:t>
      </w:r>
    </w:p>
    <w:p w14:paraId="72A2CE38">
      <w:pPr>
        <w:snapToGrid w:val="0"/>
        <w:spacing w:beforeLines="0" w:afterLines="0" w:line="480" w:lineRule="exact"/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项目支出1771893.83元：</w:t>
      </w:r>
    </w:p>
    <w:p w14:paraId="5A85D50A">
      <w:pPr>
        <w:numPr>
          <w:ilvl w:val="0"/>
          <w:numId w:val="0"/>
        </w:numPr>
        <w:snapToGrid w:val="0"/>
        <w:spacing w:beforeLines="0" w:afterLines="0" w:line="480" w:lineRule="exact"/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fldChar w:fldCharType="begin"/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instrText xml:space="preserve"> = 1 \* GB2 \* MERGEFORMAT </w:instrTex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fldChar w:fldCharType="separate"/>
      </w:r>
      <w:r>
        <w:rPr>
          <w:rFonts w:hint="eastAsia" w:ascii="仿宋" w:hAnsi="仿宋" w:eastAsia="仿宋" w:cs="仿宋"/>
          <w:sz w:val="32"/>
          <w:szCs w:val="32"/>
        </w:rPr>
        <w:t>⑴</w:t>
      </w:r>
      <w:r>
        <w:rPr>
          <w:rFonts w:hint="eastAsia" w:ascii="仿宋" w:hAnsi="仿宋" w:eastAsia="仿宋" w:cs="仿宋"/>
          <w:sz w:val="32"/>
          <w:szCs w:val="32"/>
        </w:rPr>
        <w:fldChar w:fldCharType="end"/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、工资福利支出170443.81元。</w:t>
      </w:r>
    </w:p>
    <w:p w14:paraId="50B6A091">
      <w:pPr>
        <w:numPr>
          <w:ilvl w:val="0"/>
          <w:numId w:val="0"/>
        </w:numPr>
        <w:snapToGrid w:val="0"/>
        <w:spacing w:beforeLines="0" w:afterLines="0" w:line="480" w:lineRule="exact"/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fldChar w:fldCharType="begin"/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instrText xml:space="preserve"> = 2 \* GB2 \* MERGEFORMAT </w:instrTex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fldChar w:fldCharType="separate"/>
      </w:r>
      <w:r>
        <w:rPr>
          <w:rFonts w:hint="eastAsia" w:ascii="仿宋" w:hAnsi="仿宋" w:eastAsia="仿宋" w:cs="仿宋"/>
          <w:sz w:val="32"/>
          <w:szCs w:val="32"/>
        </w:rPr>
        <w:t>⑵</w:t>
      </w:r>
      <w:r>
        <w:rPr>
          <w:rFonts w:hint="eastAsia" w:ascii="仿宋" w:hAnsi="仿宋" w:eastAsia="仿宋" w:cs="仿宋"/>
          <w:sz w:val="32"/>
          <w:szCs w:val="32"/>
        </w:rPr>
        <w:fldChar w:fldCharType="end"/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、商品和服务支出1601450.02元。</w:t>
      </w:r>
    </w:p>
    <w:p w14:paraId="6501271A">
      <w:pPr>
        <w:numPr>
          <w:ilvl w:val="0"/>
          <w:numId w:val="0"/>
        </w:numPr>
        <w:snapToGrid w:val="0"/>
        <w:spacing w:beforeLines="0" w:afterLines="0" w:line="480" w:lineRule="exact"/>
        <w:ind w:firstLine="640" w:firstLineChars="200"/>
        <w:rPr>
          <w:rFonts w:hint="default" w:ascii="楷体_GB2312" w:eastAsia="楷体_GB2312" w:cs="楷体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fldChar w:fldCharType="begin"/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instrText xml:space="preserve"> = 3 \* GB2 \* MERGEFORMAT </w:instrTex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fldChar w:fldCharType="separate"/>
      </w:r>
      <w:r>
        <w:rPr>
          <w:rFonts w:hint="eastAsia" w:ascii="仿宋" w:hAnsi="仿宋" w:eastAsia="仿宋" w:cs="仿宋"/>
          <w:sz w:val="32"/>
          <w:szCs w:val="32"/>
        </w:rPr>
        <w:t>⑶</w:t>
      </w:r>
      <w:r>
        <w:rPr>
          <w:rFonts w:hint="eastAsia" w:ascii="仿宋" w:hAnsi="仿宋" w:eastAsia="仿宋" w:cs="仿宋"/>
          <w:sz w:val="32"/>
          <w:szCs w:val="32"/>
        </w:rPr>
        <w:fldChar w:fldCharType="end"/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、对个人和家庭支出0元。</w:t>
      </w:r>
    </w:p>
    <w:p w14:paraId="42F6CF70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548" w:firstLineChars="200"/>
        <w:textAlignment w:val="auto"/>
        <w:rPr>
          <w:rFonts w:hint="default" w:ascii="楷体_GB2312" w:eastAsia="楷体_GB2312" w:cs="楷体_GB2312"/>
          <w:i w:val="0"/>
          <w:iCs w:val="0"/>
          <w:caps w:val="0"/>
          <w:color w:val="000000"/>
          <w:spacing w:val="0"/>
          <w:sz w:val="32"/>
          <w:szCs w:val="32"/>
        </w:rPr>
      </w:pPr>
      <w:r>
        <w:rPr>
          <w:rFonts w:hint="default" w:ascii="楷体_GB2312" w:hAnsi="Times New Roman" w:eastAsia="楷体_GB2312" w:cs="楷体_GB2312"/>
          <w:i w:val="0"/>
          <w:iCs w:val="0"/>
          <w:caps w:val="0"/>
          <w:color w:val="000000"/>
          <w:spacing w:val="-23"/>
          <w:sz w:val="32"/>
          <w:szCs w:val="32"/>
          <w:shd w:val="clear" w:color="auto" w:fill="FFFFFF"/>
        </w:rPr>
        <w:t>（二）</w:t>
      </w:r>
      <w:r>
        <w:rPr>
          <w:rFonts w:hint="default" w:ascii="楷体_GB2312" w:eastAsia="楷体_GB2312" w:cs="楷体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部门预算执行情况</w:t>
      </w:r>
    </w:p>
    <w:p w14:paraId="145977E7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640" w:firstLineChars="200"/>
        <w:textAlignment w:val="auto"/>
        <w:rPr>
          <w:rFonts w:hint="default" w:asci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</w:pPr>
      <w:r>
        <w:rPr>
          <w:rFonts w:hint="default" w:asci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1.基本支出情况</w:t>
      </w:r>
    </w:p>
    <w:p w14:paraId="51D99164">
      <w:pPr>
        <w:snapToGrid w:val="0"/>
        <w:spacing w:beforeLines="0" w:afterLines="0" w:line="480" w:lineRule="exact"/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基本支出1970337.86元：</w:t>
      </w:r>
    </w:p>
    <w:p w14:paraId="4C12E033">
      <w:pPr>
        <w:snapToGrid w:val="0"/>
        <w:spacing w:beforeLines="0" w:afterLines="0" w:line="480" w:lineRule="exact"/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fldChar w:fldCharType="begin"/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instrText xml:space="preserve"> = 1 \* GB2 \* MERGEFORMAT </w:instrTex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fldChar w:fldCharType="separate"/>
      </w:r>
      <w:r>
        <w:rPr>
          <w:rFonts w:hint="eastAsia" w:ascii="仿宋" w:hAnsi="仿宋" w:eastAsia="仿宋" w:cs="仿宋"/>
          <w:sz w:val="32"/>
          <w:szCs w:val="32"/>
        </w:rPr>
        <w:t>⑴</w:t>
      </w:r>
      <w:r>
        <w:rPr>
          <w:rFonts w:hint="eastAsia" w:ascii="仿宋" w:hAnsi="仿宋" w:eastAsia="仿宋" w:cs="仿宋"/>
          <w:sz w:val="32"/>
          <w:szCs w:val="32"/>
        </w:rPr>
        <w:fldChar w:fldCharType="end"/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、工资福利支出1439256.86元。</w:t>
      </w:r>
    </w:p>
    <w:p w14:paraId="6EC8FDC0">
      <w:pPr>
        <w:snapToGrid w:val="0"/>
        <w:spacing w:beforeLines="0" w:afterLines="0" w:line="480" w:lineRule="exact"/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fldChar w:fldCharType="begin"/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instrText xml:space="preserve"> = 2 \* GB2 \* MERGEFORMAT </w:instrTex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fldChar w:fldCharType="separate"/>
      </w:r>
      <w:r>
        <w:rPr>
          <w:rFonts w:hint="eastAsia" w:ascii="仿宋" w:hAnsi="仿宋" w:eastAsia="仿宋" w:cs="仿宋"/>
          <w:sz w:val="32"/>
          <w:szCs w:val="32"/>
        </w:rPr>
        <w:t>⑵</w:t>
      </w:r>
      <w:r>
        <w:rPr>
          <w:rFonts w:hint="eastAsia" w:ascii="仿宋" w:hAnsi="仿宋" w:eastAsia="仿宋" w:cs="仿宋"/>
          <w:sz w:val="32"/>
          <w:szCs w:val="32"/>
        </w:rPr>
        <w:fldChar w:fldCharType="end"/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、商品和服务支出513321.00元。</w:t>
      </w:r>
    </w:p>
    <w:p w14:paraId="677314DB">
      <w:pPr>
        <w:snapToGrid w:val="0"/>
        <w:spacing w:beforeLines="0" w:afterLines="0" w:line="480" w:lineRule="exact"/>
        <w:ind w:firstLine="640" w:firstLineChars="200"/>
        <w:rPr>
          <w:rFonts w:hint="default" w:asci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fldChar w:fldCharType="begin"/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instrText xml:space="preserve"> = 3 \* GB2 \* MERGEFORMAT </w:instrTex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fldChar w:fldCharType="separate"/>
      </w:r>
      <w:r>
        <w:rPr>
          <w:rFonts w:hint="eastAsia" w:ascii="仿宋" w:hAnsi="仿宋" w:eastAsia="仿宋" w:cs="仿宋"/>
          <w:sz w:val="32"/>
          <w:szCs w:val="32"/>
        </w:rPr>
        <w:t>⑶</w:t>
      </w:r>
      <w:r>
        <w:rPr>
          <w:rFonts w:hint="eastAsia" w:ascii="仿宋" w:hAnsi="仿宋" w:eastAsia="仿宋" w:cs="仿宋"/>
          <w:sz w:val="32"/>
          <w:szCs w:val="32"/>
        </w:rPr>
        <w:fldChar w:fldCharType="end"/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、对个人和家庭支出17760.00元。</w:t>
      </w:r>
    </w:p>
    <w:p w14:paraId="2AD13861">
      <w:pPr>
        <w:pStyle w:val="3"/>
        <w:keepNext w:val="0"/>
        <w:keepLines w:val="0"/>
        <w:pageBreakBefore w:val="0"/>
        <w:widowControl/>
        <w:numPr>
          <w:ilvl w:val="0"/>
          <w:numId w:val="2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left="640" w:right="0" w:firstLine="0"/>
        <w:textAlignment w:val="auto"/>
        <w:rPr>
          <w:rFonts w:hint="default" w:asci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</w:pPr>
      <w:r>
        <w:rPr>
          <w:rFonts w:hint="default" w:asci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项目支出情况</w:t>
      </w:r>
    </w:p>
    <w:p w14:paraId="547DF48B">
      <w:pPr>
        <w:snapToGrid w:val="0"/>
        <w:spacing w:beforeLines="0" w:afterLines="0" w:line="480" w:lineRule="exact"/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项目支出1771893.83元：</w:t>
      </w:r>
    </w:p>
    <w:p w14:paraId="1A382DEF">
      <w:pPr>
        <w:numPr>
          <w:ilvl w:val="0"/>
          <w:numId w:val="0"/>
        </w:numPr>
        <w:snapToGrid w:val="0"/>
        <w:spacing w:beforeLines="0" w:afterLines="0" w:line="480" w:lineRule="exact"/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fldChar w:fldCharType="begin"/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instrText xml:space="preserve"> = 1 \* GB2 \* MERGEFORMAT </w:instrTex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fldChar w:fldCharType="separate"/>
      </w:r>
      <w:r>
        <w:rPr>
          <w:rFonts w:hint="eastAsia" w:ascii="仿宋" w:hAnsi="仿宋" w:eastAsia="仿宋" w:cs="仿宋"/>
          <w:sz w:val="32"/>
          <w:szCs w:val="32"/>
        </w:rPr>
        <w:t>⑴</w:t>
      </w:r>
      <w:r>
        <w:rPr>
          <w:rFonts w:hint="eastAsia" w:ascii="仿宋" w:hAnsi="仿宋" w:eastAsia="仿宋" w:cs="仿宋"/>
          <w:sz w:val="32"/>
          <w:szCs w:val="32"/>
        </w:rPr>
        <w:fldChar w:fldCharType="end"/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、工资福利支出170443.81元。</w:t>
      </w:r>
    </w:p>
    <w:p w14:paraId="1A91B204">
      <w:pPr>
        <w:numPr>
          <w:ilvl w:val="0"/>
          <w:numId w:val="0"/>
        </w:numPr>
        <w:snapToGrid w:val="0"/>
        <w:spacing w:beforeLines="0" w:afterLines="0" w:line="480" w:lineRule="exact"/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fldChar w:fldCharType="begin"/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instrText xml:space="preserve"> = 2 \* GB2 \* MERGEFORMAT </w:instrTex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fldChar w:fldCharType="separate"/>
      </w:r>
      <w:r>
        <w:rPr>
          <w:rFonts w:hint="eastAsia" w:ascii="仿宋" w:hAnsi="仿宋" w:eastAsia="仿宋" w:cs="仿宋"/>
          <w:sz w:val="32"/>
          <w:szCs w:val="32"/>
        </w:rPr>
        <w:t>⑵</w:t>
      </w:r>
      <w:r>
        <w:rPr>
          <w:rFonts w:hint="eastAsia" w:ascii="仿宋" w:hAnsi="仿宋" w:eastAsia="仿宋" w:cs="仿宋"/>
          <w:sz w:val="32"/>
          <w:szCs w:val="32"/>
        </w:rPr>
        <w:fldChar w:fldCharType="end"/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、商品和服务支出1601450.02元。</w:t>
      </w:r>
    </w:p>
    <w:p w14:paraId="242BCC1E">
      <w:pPr>
        <w:numPr>
          <w:ilvl w:val="0"/>
          <w:numId w:val="0"/>
        </w:numPr>
        <w:snapToGrid w:val="0"/>
        <w:spacing w:beforeLines="0" w:afterLines="0" w:line="480" w:lineRule="exact"/>
        <w:ind w:firstLine="640" w:firstLineChars="200"/>
        <w:rPr>
          <w:rFonts w:hint="default" w:asci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fldChar w:fldCharType="begin"/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instrText xml:space="preserve"> = 3 \* GB2 \* MERGEFORMAT </w:instrTex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fldChar w:fldCharType="separate"/>
      </w:r>
      <w:r>
        <w:rPr>
          <w:rFonts w:hint="eastAsia" w:ascii="仿宋" w:hAnsi="仿宋" w:eastAsia="仿宋" w:cs="仿宋"/>
          <w:sz w:val="32"/>
          <w:szCs w:val="32"/>
        </w:rPr>
        <w:t>⑶</w:t>
      </w:r>
      <w:r>
        <w:rPr>
          <w:rFonts w:hint="eastAsia" w:ascii="仿宋" w:hAnsi="仿宋" w:eastAsia="仿宋" w:cs="仿宋"/>
          <w:sz w:val="32"/>
          <w:szCs w:val="32"/>
        </w:rPr>
        <w:fldChar w:fldCharType="end"/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、对个人和家庭支出0元。</w:t>
      </w:r>
    </w:p>
    <w:p w14:paraId="016AFBC2">
      <w:pPr>
        <w:pStyle w:val="3"/>
        <w:keepNext w:val="0"/>
        <w:keepLines w:val="0"/>
        <w:pageBreakBefore w:val="0"/>
        <w:widowControl/>
        <w:numPr>
          <w:ilvl w:val="0"/>
          <w:numId w:val="3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640" w:firstLineChars="200"/>
        <w:textAlignment w:val="auto"/>
        <w:rPr>
          <w:rFonts w:hint="default" w:ascii="楷体_GB2312" w:eastAsia="楷体_GB2312" w:cs="楷体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</w:pPr>
      <w:r>
        <w:rPr>
          <w:rFonts w:hint="default" w:ascii="楷体_GB2312" w:eastAsia="楷体_GB2312" w:cs="楷体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"三公"经费使用和管理情况</w:t>
      </w:r>
    </w:p>
    <w:p w14:paraId="1A2D752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" w:hAnsi="仿宋" w:eastAsia="仿宋" w:cs="仿宋"/>
          <w:sz w:val="32"/>
          <w:szCs w:val="32"/>
          <w:lang w:val="zh-CN"/>
        </w:rPr>
      </w:pPr>
      <w:r>
        <w:rPr>
          <w:rFonts w:hint="eastAsia" w:ascii="仿宋" w:hAnsi="仿宋" w:eastAsia="仿宋" w:cs="仿宋"/>
          <w:sz w:val="32"/>
          <w:szCs w:val="32"/>
        </w:rPr>
        <w:t>没有因公出国（境）人员，公务接待费支出2448元，占年初公务接待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费</w:t>
      </w:r>
      <w:r>
        <w:rPr>
          <w:rFonts w:hint="eastAsia" w:ascii="仿宋" w:hAnsi="仿宋" w:eastAsia="仿宋" w:cs="仿宋"/>
          <w:sz w:val="32"/>
          <w:szCs w:val="32"/>
        </w:rPr>
        <w:t>预算安排数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的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48.96</w:t>
      </w:r>
      <w:r>
        <w:rPr>
          <w:rFonts w:hint="eastAsia" w:ascii="仿宋" w:hAnsi="仿宋" w:eastAsia="仿宋" w:cs="仿宋"/>
          <w:sz w:val="32"/>
          <w:szCs w:val="32"/>
        </w:rPr>
        <w:t>%，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没有</w:t>
      </w:r>
      <w:r>
        <w:rPr>
          <w:rFonts w:hint="eastAsia" w:ascii="仿宋" w:hAnsi="仿宋" w:eastAsia="仿宋" w:cs="仿宋"/>
          <w:sz w:val="32"/>
          <w:szCs w:val="32"/>
        </w:rPr>
        <w:t>公务用车购置及运行维护费支出，有效的控制了“三公经费”的支出。</w:t>
      </w:r>
    </w:p>
    <w:p w14:paraId="012D8508">
      <w:pPr>
        <w:pStyle w:val="3"/>
        <w:keepNext w:val="0"/>
        <w:keepLines w:val="0"/>
        <w:pageBreakBefore w:val="0"/>
        <w:widowControl/>
        <w:numPr>
          <w:ilvl w:val="0"/>
          <w:numId w:val="4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640" w:firstLineChars="200"/>
        <w:textAlignment w:val="auto"/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</w:pPr>
      <w:r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政府性基金预算支出情况</w:t>
      </w:r>
    </w:p>
    <w:p w14:paraId="2813AC41">
      <w:pPr>
        <w:pStyle w:val="3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rightChars="0" w:firstLine="643" w:firstLineChars="200"/>
        <w:textAlignment w:val="auto"/>
        <w:rPr>
          <w:rFonts w:hint="eastAsia" w:ascii="仿宋" w:hAnsi="仿宋" w:eastAsia="仿宋" w:cs="仿宋"/>
          <w:b/>
          <w:bCs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eastAsia="zh-CN"/>
        </w:rPr>
      </w:pPr>
      <w:r>
        <w:rPr>
          <w:rFonts w:hint="eastAsia" w:ascii="仿宋" w:hAnsi="仿宋" w:eastAsia="仿宋" w:cs="仿宋"/>
          <w:b/>
          <w:bCs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eastAsia="zh-CN"/>
        </w:rPr>
        <w:t>无</w:t>
      </w:r>
    </w:p>
    <w:p w14:paraId="521FDF26">
      <w:pPr>
        <w:pStyle w:val="3"/>
        <w:keepNext w:val="0"/>
        <w:keepLines w:val="0"/>
        <w:pageBreakBefore w:val="0"/>
        <w:widowControl/>
        <w:numPr>
          <w:ilvl w:val="0"/>
          <w:numId w:val="4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left="0" w:leftChars="0" w:right="0" w:firstLine="640" w:firstLineChars="200"/>
        <w:textAlignment w:val="auto"/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</w:pPr>
      <w:r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国有资本经营预算支出情况</w:t>
      </w:r>
    </w:p>
    <w:p w14:paraId="352EB592">
      <w:pPr>
        <w:pStyle w:val="3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rightChars="0"/>
        <w:textAlignment w:val="auto"/>
        <w:rPr>
          <w:rFonts w:hint="default" w:ascii="黑体" w:hAnsi="黑体" w:eastAsia="黑体" w:cs="黑体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b/>
          <w:bCs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无</w:t>
      </w:r>
    </w:p>
    <w:p w14:paraId="3444E96B">
      <w:pPr>
        <w:pStyle w:val="3"/>
        <w:keepNext w:val="0"/>
        <w:keepLines w:val="0"/>
        <w:pageBreakBefore w:val="0"/>
        <w:widowControl/>
        <w:numPr>
          <w:ilvl w:val="0"/>
          <w:numId w:val="4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left="0" w:leftChars="0" w:right="0" w:firstLine="640" w:firstLineChars="200"/>
        <w:textAlignment w:val="auto"/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</w:pPr>
      <w:r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社会保险基金预算支出情况</w:t>
      </w:r>
    </w:p>
    <w:p w14:paraId="32CC900C">
      <w:pPr>
        <w:pStyle w:val="3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rightChars="0" w:firstLine="643" w:firstLineChars="200"/>
        <w:textAlignment w:val="auto"/>
        <w:rPr>
          <w:rFonts w:hint="eastAsia" w:ascii="仿宋" w:hAnsi="仿宋" w:eastAsia="仿宋" w:cs="仿宋"/>
          <w:b/>
          <w:bCs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eastAsia="zh-CN"/>
        </w:rPr>
      </w:pPr>
      <w:r>
        <w:rPr>
          <w:rFonts w:hint="eastAsia" w:ascii="仿宋" w:hAnsi="仿宋" w:eastAsia="仿宋" w:cs="仿宋"/>
          <w:b/>
          <w:bCs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eastAsia="zh-CN"/>
        </w:rPr>
        <w:t>无</w:t>
      </w:r>
    </w:p>
    <w:p w14:paraId="54A153B7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640" w:firstLineChars="200"/>
        <w:textAlignment w:val="auto"/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sz w:val="32"/>
          <w:szCs w:val="32"/>
        </w:rPr>
      </w:pPr>
      <w:r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六、部门整体支出绩效情况</w:t>
      </w:r>
    </w:p>
    <w:p w14:paraId="472DB05F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548" w:firstLineChars="200"/>
        <w:textAlignment w:val="auto"/>
        <w:rPr>
          <w:rFonts w:hint="default" w:ascii="楷体_GB2312" w:eastAsia="楷体_GB2312" w:cs="楷体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</w:pPr>
      <w:r>
        <w:rPr>
          <w:rFonts w:hint="default" w:ascii="楷体_GB2312" w:hAnsi="Times New Roman" w:eastAsia="楷体_GB2312" w:cs="楷体_GB2312"/>
          <w:i w:val="0"/>
          <w:iCs w:val="0"/>
          <w:caps w:val="0"/>
          <w:color w:val="000000"/>
          <w:spacing w:val="-23"/>
          <w:sz w:val="32"/>
          <w:szCs w:val="32"/>
          <w:shd w:val="clear" w:color="auto" w:fill="FFFFFF"/>
        </w:rPr>
        <w:t>（一）</w:t>
      </w:r>
      <w:r>
        <w:rPr>
          <w:rFonts w:hint="default" w:ascii="楷体_GB2312" w:eastAsia="楷体_GB2312" w:cs="楷体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综合评价结论。</w:t>
      </w:r>
    </w:p>
    <w:p w14:paraId="4F377748">
      <w:pPr>
        <w:keepNext w:val="0"/>
        <w:keepLines w:val="0"/>
        <w:pageBreakBefore w:val="0"/>
        <w:numPr>
          <w:ilvl w:val="0"/>
          <w:numId w:val="0"/>
        </w:numPr>
        <w:kinsoku/>
        <w:overflowPunct/>
        <w:topLinePunct w:val="0"/>
        <w:autoSpaceDE/>
        <w:autoSpaceDN/>
        <w:bidi w:val="0"/>
        <w:adjustRightInd/>
        <w:spacing w:line="460" w:lineRule="exact"/>
        <w:ind w:firstLine="640" w:firstLineChars="200"/>
        <w:textAlignment w:val="auto"/>
        <w:rPr>
          <w:rFonts w:hint="default" w:ascii="楷体_GB2312" w:eastAsia="楷体_GB2312" w:cs="楷体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</w:pPr>
      <w:r>
        <w:rPr>
          <w:rFonts w:hint="eastAsia" w:ascii="仿宋" w:hAnsi="仿宋" w:eastAsia="仿宋" w:cs="仿宋"/>
          <w:b w:val="0"/>
          <w:bCs w:val="0"/>
          <w:color w:val="343233"/>
          <w:kern w:val="0"/>
          <w:sz w:val="32"/>
          <w:szCs w:val="32"/>
          <w:lang w:eastAsia="zh-CN"/>
        </w:rPr>
        <w:t>经自评，</w:t>
      </w:r>
      <w:r>
        <w:rPr>
          <w:rFonts w:hint="eastAsia" w:ascii="仿宋" w:hAnsi="仿宋" w:eastAsia="仿宋" w:cs="仿宋"/>
          <w:b w:val="0"/>
          <w:bCs w:val="0"/>
          <w:color w:val="343233"/>
          <w:kern w:val="0"/>
          <w:sz w:val="32"/>
          <w:szCs w:val="32"/>
          <w:lang w:val="en-US" w:eastAsia="zh-CN"/>
        </w:rPr>
        <w:t>2023年度我单位整体支出绩效评价结论为“优”，自查评分为90</w:t>
      </w:r>
      <w:bookmarkStart w:id="0" w:name="_GoBack"/>
      <w:bookmarkEnd w:id="0"/>
      <w:r>
        <w:rPr>
          <w:rFonts w:hint="eastAsia" w:ascii="仿宋" w:hAnsi="仿宋" w:eastAsia="仿宋" w:cs="仿宋"/>
          <w:b w:val="0"/>
          <w:bCs w:val="0"/>
          <w:color w:val="343233"/>
          <w:kern w:val="0"/>
          <w:sz w:val="32"/>
          <w:szCs w:val="32"/>
          <w:lang w:val="en-US" w:eastAsia="zh-CN"/>
        </w:rPr>
        <w:t>分。</w:t>
      </w:r>
    </w:p>
    <w:p w14:paraId="2F769B1F">
      <w:pPr>
        <w:pStyle w:val="3"/>
        <w:keepNext w:val="0"/>
        <w:keepLines w:val="0"/>
        <w:pageBreakBefore w:val="0"/>
        <w:widowControl/>
        <w:numPr>
          <w:ilvl w:val="0"/>
          <w:numId w:val="5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640" w:firstLineChars="200"/>
        <w:textAlignment w:val="auto"/>
        <w:rPr>
          <w:rFonts w:hint="default" w:ascii="楷体_GB2312" w:eastAsia="楷体_GB2312" w:cs="楷体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</w:pPr>
      <w:r>
        <w:rPr>
          <w:rFonts w:hint="default" w:ascii="楷体_GB2312" w:eastAsia="楷体_GB2312" w:cs="楷体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评价指标分析（或综合评价情况）。</w:t>
      </w:r>
    </w:p>
    <w:p w14:paraId="6515C3CD">
      <w:pPr>
        <w:pStyle w:val="3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rightChars="0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楷体_GB2312" w:eastAsia="楷体_GB2312" w:cs="楷体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 xml:space="preserve"> 根据我部门实际情况，年初按要求申报了整体绩效目标，并在年终产出中实现了数量、质量、成本、时效指标的全面完成，取得了良好的社会效益和可持续影响，服务对象满意率较高。</w:t>
      </w:r>
    </w:p>
    <w:p w14:paraId="3118252E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640" w:firstLineChars="200"/>
        <w:textAlignment w:val="auto"/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sz w:val="32"/>
          <w:szCs w:val="32"/>
        </w:rPr>
      </w:pPr>
      <w:r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七、存在的问题及原因分析</w:t>
      </w:r>
    </w:p>
    <w:p w14:paraId="5510BFB9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640" w:firstLineChars="200"/>
        <w:jc w:val="left"/>
        <w:textAlignment w:val="auto"/>
        <w:rPr>
          <w:rFonts w:hint="eastAsia" w:asci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eastAsia="zh-CN"/>
        </w:rPr>
      </w:pPr>
      <w:r>
        <w:rPr>
          <w:rFonts w:hint="default" w:asci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主要</w:t>
      </w:r>
      <w:r>
        <w:rPr>
          <w:rFonts w:hint="eastAsia" w:asci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eastAsia="zh-CN"/>
        </w:rPr>
        <w:t>是年初维稳专项资金有一部分没有纳入项目预算，致使预算执行时偏离绩效目标成本指标，</w:t>
      </w:r>
    </w:p>
    <w:p w14:paraId="0A7AAD62">
      <w:pPr>
        <w:pStyle w:val="3"/>
        <w:keepNext w:val="0"/>
        <w:keepLines w:val="0"/>
        <w:pageBreakBefore w:val="0"/>
        <w:widowControl/>
        <w:numPr>
          <w:ilvl w:val="0"/>
          <w:numId w:val="6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640" w:firstLineChars="200"/>
        <w:textAlignment w:val="auto"/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</w:pPr>
      <w:r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下一步改进措施</w:t>
      </w:r>
    </w:p>
    <w:p w14:paraId="01D1C2DB">
      <w:pPr>
        <w:pStyle w:val="3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rightChars="0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年初预算时将维稳专项资金纳入项目预算。</w:t>
      </w:r>
    </w:p>
    <w:p w14:paraId="43E7323C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640" w:firstLineChars="200"/>
        <w:textAlignment w:val="auto"/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sz w:val="32"/>
          <w:szCs w:val="32"/>
        </w:rPr>
      </w:pPr>
      <w:r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九、其他需要说明的情况</w:t>
      </w:r>
    </w:p>
    <w:p w14:paraId="2CE96CD3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643" w:firstLineChars="200"/>
        <w:textAlignment w:val="auto"/>
        <w:rPr>
          <w:rFonts w:hint="eastAsia" w:ascii="Times New Roman" w:hAnsi="Times New Roman" w:eastAsia="宋体" w:cs="Times New Roman"/>
          <w:b/>
          <w:bCs/>
          <w:i w:val="0"/>
          <w:iCs w:val="0"/>
          <w:caps w:val="0"/>
          <w:color w:val="000000"/>
          <w:spacing w:val="0"/>
          <w:sz w:val="32"/>
          <w:szCs w:val="32"/>
          <w:lang w:eastAsia="zh-CN"/>
        </w:rPr>
      </w:pPr>
      <w:r>
        <w:rPr>
          <w:rFonts w:hint="eastAsia" w:cs="Times New Roman"/>
          <w:b/>
          <w:bCs/>
          <w:i w:val="0"/>
          <w:iCs w:val="0"/>
          <w:caps w:val="0"/>
          <w:color w:val="000000"/>
          <w:spacing w:val="0"/>
          <w:sz w:val="32"/>
          <w:szCs w:val="32"/>
          <w:lang w:eastAsia="zh-CN"/>
        </w:rPr>
        <w:t>无</w:t>
      </w:r>
    </w:p>
    <w:p w14:paraId="63EA47ED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_GBK">
    <w:altName w:val="微软雅黑"/>
    <w:panose1 w:val="02000000000000000000"/>
    <w:charset w:val="86"/>
    <w:family w:val="auto"/>
    <w:pitch w:val="default"/>
    <w:sig w:usb0="00000000" w:usb1="00000000" w:usb2="00082016" w:usb3="00000000" w:csb0="00040001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CBBB2B8"/>
    <w:multiLevelType w:val="singleLevel"/>
    <w:tmpl w:val="8CBBB2B8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ED0050E9"/>
    <w:multiLevelType w:val="singleLevel"/>
    <w:tmpl w:val="ED0050E9"/>
    <w:lvl w:ilvl="0" w:tentative="0">
      <w:start w:val="8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EEB8ED3F"/>
    <w:multiLevelType w:val="singleLevel"/>
    <w:tmpl w:val="EEB8ED3F"/>
    <w:lvl w:ilvl="0" w:tentative="0">
      <w:start w:val="3"/>
      <w:numFmt w:val="chineseCounting"/>
      <w:suff w:val="nothing"/>
      <w:lvlText w:val="（%1）"/>
      <w:lvlJc w:val="left"/>
      <w:rPr>
        <w:rFonts w:hint="eastAsia"/>
      </w:rPr>
    </w:lvl>
  </w:abstractNum>
  <w:abstractNum w:abstractNumId="3">
    <w:nsid w:val="FBD1014F"/>
    <w:multiLevelType w:val="singleLevel"/>
    <w:tmpl w:val="FBD1014F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4">
    <w:nsid w:val="1962FF20"/>
    <w:multiLevelType w:val="singleLevel"/>
    <w:tmpl w:val="1962FF20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abstractNum w:abstractNumId="5">
    <w:nsid w:val="7AFEEC5D"/>
    <w:multiLevelType w:val="singleLevel"/>
    <w:tmpl w:val="7AFEEC5D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0"/>
  </w:num>
  <w:num w:numId="5">
    <w:abstractNumId w:val="5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JlMzM1ZDg4ZDRhZmEwYWU4M2M1OTU5OTFjMzNhZjkifQ=="/>
  </w:docVars>
  <w:rsids>
    <w:rsidRoot w:val="45B53DB0"/>
    <w:rsid w:val="006D5EEE"/>
    <w:rsid w:val="014C26A4"/>
    <w:rsid w:val="01D21C48"/>
    <w:rsid w:val="0385634A"/>
    <w:rsid w:val="04163446"/>
    <w:rsid w:val="063D115E"/>
    <w:rsid w:val="067F49DD"/>
    <w:rsid w:val="06A42F8B"/>
    <w:rsid w:val="0BF67709"/>
    <w:rsid w:val="0C3F1B65"/>
    <w:rsid w:val="0EBE0962"/>
    <w:rsid w:val="11ED060F"/>
    <w:rsid w:val="147E37E3"/>
    <w:rsid w:val="19AE62C4"/>
    <w:rsid w:val="19CD050B"/>
    <w:rsid w:val="19D70B73"/>
    <w:rsid w:val="1F550379"/>
    <w:rsid w:val="1FAB72DF"/>
    <w:rsid w:val="202F346E"/>
    <w:rsid w:val="20C647F6"/>
    <w:rsid w:val="22E744D4"/>
    <w:rsid w:val="25BA31B8"/>
    <w:rsid w:val="26615D2A"/>
    <w:rsid w:val="2953244A"/>
    <w:rsid w:val="2DCB6D73"/>
    <w:rsid w:val="32E60475"/>
    <w:rsid w:val="34057879"/>
    <w:rsid w:val="37973410"/>
    <w:rsid w:val="389E1315"/>
    <w:rsid w:val="399C171C"/>
    <w:rsid w:val="39C73BEE"/>
    <w:rsid w:val="39C770E9"/>
    <w:rsid w:val="3B894744"/>
    <w:rsid w:val="3CE85A48"/>
    <w:rsid w:val="4069361F"/>
    <w:rsid w:val="45B53DB0"/>
    <w:rsid w:val="45D37363"/>
    <w:rsid w:val="462F60CE"/>
    <w:rsid w:val="48BF71D5"/>
    <w:rsid w:val="49DC7913"/>
    <w:rsid w:val="4B4F37C2"/>
    <w:rsid w:val="535C474C"/>
    <w:rsid w:val="57825F9E"/>
    <w:rsid w:val="5CDE3232"/>
    <w:rsid w:val="5E574B1F"/>
    <w:rsid w:val="5FEB2BA4"/>
    <w:rsid w:val="602F5097"/>
    <w:rsid w:val="60646B56"/>
    <w:rsid w:val="61A15272"/>
    <w:rsid w:val="62206ADF"/>
    <w:rsid w:val="633D2603"/>
    <w:rsid w:val="64FA4AFF"/>
    <w:rsid w:val="68040309"/>
    <w:rsid w:val="68203558"/>
    <w:rsid w:val="696C43B8"/>
    <w:rsid w:val="6CD75FEC"/>
    <w:rsid w:val="6DD742B6"/>
    <w:rsid w:val="70C86AB0"/>
    <w:rsid w:val="71643360"/>
    <w:rsid w:val="74471A90"/>
    <w:rsid w:val="749F0CF3"/>
    <w:rsid w:val="77000835"/>
    <w:rsid w:val="770337B9"/>
    <w:rsid w:val="777732F7"/>
    <w:rsid w:val="78EE4DE9"/>
    <w:rsid w:val="7DD331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keepNext/>
      <w:keepLines/>
      <w:spacing w:beforeLines="0" w:beforeAutospacing="0" w:afterLines="0" w:afterAutospacing="0" w:line="560" w:lineRule="exact"/>
      <w:ind w:firstLine="880" w:firstLineChars="200"/>
      <w:outlineLvl w:val="1"/>
    </w:pPr>
    <w:rPr>
      <w:rFonts w:ascii="Arial" w:hAnsi="Arial" w:eastAsia="黑体"/>
      <w:sz w:val="32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6">
    <w:name w:val="BodyText1I2"/>
    <w:basedOn w:val="7"/>
    <w:next w:val="1"/>
    <w:unhideWhenUsed/>
    <w:qFormat/>
    <w:uiPriority w:val="0"/>
    <w:pPr>
      <w:ind w:firstLine="200" w:firstLineChars="200"/>
    </w:pPr>
    <w:rPr>
      <w:rFonts w:hint="default" w:ascii="Calibri" w:hAnsi="Calibri" w:eastAsia="仿宋_GB2312"/>
      <w:sz w:val="36"/>
    </w:rPr>
  </w:style>
  <w:style w:type="paragraph" w:customStyle="1" w:styleId="7">
    <w:name w:val="BodyTextIndent"/>
    <w:basedOn w:val="1"/>
    <w:unhideWhenUsed/>
    <w:qFormat/>
    <w:uiPriority w:val="0"/>
    <w:pPr>
      <w:spacing w:after="120"/>
      <w:ind w:left="420" w:leftChars="200"/>
      <w:textAlignment w:val="baseline"/>
    </w:pPr>
    <w:rPr>
      <w:rFonts w:hint="eastAsia"/>
      <w:sz w:val="21"/>
      <w:lang w:val="en-US" w:eastAsia="zh-CN"/>
    </w:rPr>
  </w:style>
  <w:style w:type="paragraph" w:customStyle="1" w:styleId="8">
    <w:name w:val="标题1"/>
    <w:basedOn w:val="2"/>
    <w:qFormat/>
    <w:uiPriority w:val="0"/>
    <w:rPr>
      <w:rFonts w:eastAsia="黑体"/>
    </w:rPr>
  </w:style>
  <w:style w:type="character" w:customStyle="1" w:styleId="9">
    <w:name w:val="NormalCharacter"/>
    <w:qFormat/>
    <w:uiPriority w:val="0"/>
    <w:rPr>
      <w:rFonts w:eastAsia="宋体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1367</Words>
  <Characters>1588</Characters>
  <Lines>0</Lines>
  <Paragraphs>0</Paragraphs>
  <TotalTime>5</TotalTime>
  <ScaleCrop>false</ScaleCrop>
  <LinksUpToDate>false</LinksUpToDate>
  <CharactersWithSpaces>1601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2024-08-13T02:54:00Z</dcterms:created>
  <dc:creator>001</dc:creator>
  <cp:lastModifiedBy>Administrator</cp:lastModifiedBy>
  <dcterms:modified xsi:type="dcterms:W3CDTF">2024-09-03T03:48:28Z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B424A838E662426F8D1B28F655842ED5_11</vt:lpwstr>
  </property>
</Properties>
</file>