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0CC5B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  <w:shd w:val="clear" w:color="auto" w:fill="FFFFFF"/>
          <w:lang w:eastAsia="zh-CN"/>
        </w:rPr>
        <w:t>维稳专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  <w:shd w:val="clear" w:color="auto" w:fill="FFFFFF"/>
        </w:rPr>
        <w:t>项支出绩效自评报告</w:t>
      </w:r>
    </w:p>
    <w:p w14:paraId="4466588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right="0" w:firstLine="640" w:firstLineChars="200"/>
        <w:jc w:val="both"/>
        <w:textAlignment w:val="auto"/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</w:p>
    <w:p w14:paraId="12F3999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right="0" w:firstLine="640" w:firstLineChars="200"/>
        <w:jc w:val="both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 </w:t>
      </w: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一、项目基本情况</w:t>
      </w:r>
    </w:p>
    <w:p w14:paraId="5E61CE3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项目概况</w:t>
      </w:r>
    </w:p>
    <w:p w14:paraId="625BC49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1.项目决策背景</w:t>
      </w:r>
    </w:p>
    <w:p w14:paraId="302B460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  <w:lang w:eastAsia="zh-CN"/>
        </w:rPr>
        <w:t>维稳专项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是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  <w:lang w:eastAsia="zh-CN"/>
        </w:rPr>
        <w:t>为了及时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  <w:lang w:val="en-US" w:eastAsia="zh-CN"/>
        </w:rPr>
        <w:t>高效处理突发信访维稳事件，而经过县委常务会议研究通过，纳入财政年初预算的专项经费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  <w:lang w:eastAsia="zh-CN"/>
        </w:rPr>
        <w:t>。</w:t>
      </w:r>
    </w:p>
    <w:p w14:paraId="63C5CF9E"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 w:firstLine="320" w:firstLineChars="1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2.项目主要内容</w:t>
      </w:r>
    </w:p>
    <w:p w14:paraId="10AC66BD">
      <w:pPr>
        <w:pStyle w:val="7"/>
        <w:spacing w:line="48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项目共设置2个绩效指标，全部为效率指标，具体情况如下：</w:t>
      </w:r>
    </w:p>
    <w:p w14:paraId="7A0A6B4E">
      <w:pPr>
        <w:numPr>
          <w:ilvl w:val="0"/>
          <w:numId w:val="0"/>
        </w:numPr>
        <w:ind w:firstLine="64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2023年</w:t>
      </w:r>
      <w:r>
        <w:rPr>
          <w:rFonts w:hint="eastAsia" w:ascii="仿宋" w:hAnsi="仿宋" w:eastAsia="仿宋" w:cs="仿宋"/>
          <w:sz w:val="32"/>
          <w:szCs w:val="32"/>
        </w:rPr>
        <w:t>绩效指标：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全年预计信访维稳事件发生及时率100%，解决率100%。</w:t>
      </w:r>
    </w:p>
    <w:p w14:paraId="41478A1F"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 w:firstLine="320" w:firstLineChars="1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3.项目组织管理机构</w:t>
      </w:r>
    </w:p>
    <w:p w14:paraId="1C46EAE9"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rightChars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会同县信访局</w:t>
      </w:r>
    </w:p>
    <w:p w14:paraId="57AB787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sz w:val="32"/>
          <w:szCs w:val="32"/>
          <w:shd w:val="clear" w:color="auto" w:fill="FFFFFF"/>
        </w:rPr>
        <w:t>（二）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预算资金使用管理情况</w:t>
      </w:r>
    </w:p>
    <w:p w14:paraId="697021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1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0" w:name="_Toc10810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1.预算资金安排及管理情况</w:t>
      </w:r>
      <w:bookmarkEnd w:id="0"/>
    </w:p>
    <w:p w14:paraId="0745A63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（1）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资金来源及拨付流程</w:t>
      </w:r>
    </w:p>
    <w:p w14:paraId="437C416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该项目资金来源于县财政本级，年底前由财政按预算金额直接拨付。</w:t>
      </w:r>
    </w:p>
    <w:p w14:paraId="59A76F0F">
      <w:pPr>
        <w:pStyle w:val="3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资金到位情况</w:t>
      </w:r>
    </w:p>
    <w:p w14:paraId="5915AB74">
      <w:pPr>
        <w:pStyle w:val="7"/>
        <w:spacing w:line="480" w:lineRule="exact"/>
        <w:ind w:firstLine="640" w:firstLineChars="200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sz w:val="32"/>
          <w:szCs w:val="32"/>
        </w:rPr>
        <w:t>该项目是年初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财政预算</w:t>
      </w:r>
      <w:r>
        <w:rPr>
          <w:rFonts w:hint="eastAsia" w:ascii="仿宋" w:hAnsi="仿宋" w:eastAsia="仿宋" w:cs="仿宋"/>
          <w:sz w:val="32"/>
          <w:szCs w:val="32"/>
        </w:rPr>
        <w:t>下达项目资金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102.8万元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，至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12月底止已拨付到位万元。</w:t>
      </w:r>
    </w:p>
    <w:p w14:paraId="04901858">
      <w:pPr>
        <w:pStyle w:val="3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leftChars="0"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资金使用情况</w:t>
      </w:r>
    </w:p>
    <w:p w14:paraId="1F437EE8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2023年</w:t>
      </w:r>
      <w:r>
        <w:rPr>
          <w:rFonts w:hint="eastAsia" w:ascii="仿宋" w:hAnsi="仿宋" w:eastAsia="仿宋" w:cs="仿宋"/>
          <w:sz w:val="32"/>
          <w:szCs w:val="32"/>
        </w:rPr>
        <w:t>度项目资金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已</w:t>
      </w:r>
      <w:r>
        <w:rPr>
          <w:rFonts w:hint="eastAsia" w:ascii="仿宋" w:hAnsi="仿宋" w:eastAsia="仿宋" w:cs="仿宋"/>
          <w:sz w:val="32"/>
          <w:szCs w:val="32"/>
        </w:rPr>
        <w:t>结算拨付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到位1771893.83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元，全部用于预算审批的目标管理项目细化支出（其中：办公经费329776.12元，印刷费87614元，咨询费9700元，差旅费758592.4元，维修费4000元，租赁费182514元，工会经费100000元，其他交通费54573.5元，其他商品和服务支出74680元，工作福利支出170443.81元。）</w:t>
      </w:r>
    </w:p>
    <w:p w14:paraId="16A1EFA0">
      <w:pPr>
        <w:pStyle w:val="3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leftChars="0"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资金管理制度及执行情况</w:t>
      </w:r>
    </w:p>
    <w:p w14:paraId="652F6F5D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2023年</w:t>
      </w:r>
      <w:r>
        <w:rPr>
          <w:rFonts w:hint="eastAsia" w:ascii="仿宋" w:hAnsi="仿宋" w:eastAsia="仿宋" w:cs="仿宋"/>
          <w:sz w:val="32"/>
          <w:szCs w:val="32"/>
        </w:rPr>
        <w:t>该项目所有资金实行专款专用。项目支出均有相关的授权审批，资金拨付严格按单位申报、财政局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政法股</w:t>
      </w:r>
      <w:r>
        <w:rPr>
          <w:rFonts w:hint="eastAsia" w:ascii="仿宋" w:hAnsi="仿宋" w:eastAsia="仿宋" w:cs="仿宋"/>
          <w:sz w:val="32"/>
          <w:szCs w:val="32"/>
        </w:rPr>
        <w:t>审核程序，使用规范，会计核算结果真实、准确。我单位建立健全项目实施预算方案、财务管理制度和会计核算制度。从未有截留、挤占或挪用该项目资金的情况。</w:t>
      </w:r>
    </w:p>
    <w:p w14:paraId="053ECE4C"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rightChars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2.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项目组织实施管理情况</w:t>
      </w:r>
    </w:p>
    <w:p w14:paraId="72C81E62">
      <w:pPr>
        <w:pStyle w:val="7"/>
        <w:wordWrap w:val="0"/>
        <w:spacing w:line="500" w:lineRule="atLeast"/>
        <w:ind w:firstLine="640" w:firstLineChars="200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）、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该项目属于经常性日常工作，没有达到招投标规定，由本单位自行组织实施。实施过程都是按照本单位制定的管理制度来执行。 </w:t>
      </w:r>
    </w:p>
    <w:p w14:paraId="5402D9F7">
      <w:pPr>
        <w:pStyle w:val="7"/>
        <w:wordWrap w:val="0"/>
        <w:spacing w:line="500" w:lineRule="atLeast"/>
        <w:ind w:firstLine="640" w:firstLineChars="200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）、</w:t>
      </w:r>
      <w:r>
        <w:rPr>
          <w:rFonts w:hint="eastAsia" w:ascii="仿宋" w:hAnsi="仿宋" w:eastAsia="仿宋" w:cs="仿宋"/>
          <w:sz w:val="32"/>
          <w:szCs w:val="32"/>
        </w:rPr>
        <w:t>项目目标设定依据充分、明确、合理，项目建设符合县委、政府相关规定。项目实施过程中，遵循先考察、调研，再根据我县的实际情况制定相应的措施。实现了项目管理与过程管理的有机结合。</w:t>
      </w:r>
    </w:p>
    <w:p w14:paraId="50ED7AC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51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/>
          <w:spacing w:val="-23"/>
          <w:sz w:val="32"/>
          <w:szCs w:val="32"/>
          <w:shd w:val="clear" w:color="auto" w:fill="FFFFFF"/>
        </w:rPr>
        <w:t>（三）</w:t>
      </w: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预算绩效目标情况</w:t>
      </w:r>
    </w:p>
    <w:p w14:paraId="59080EC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1.绩效目标</w:t>
      </w:r>
    </w:p>
    <w:p w14:paraId="08F2DAB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牢记为民解难、为党分忧的政治责任，坚守人民情怀，坚守底线思维、法治思维，服务党和国家工作大局，维护群众合法权利，化解信访突出问题，促进社会和谐稳定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076CA052">
      <w:pPr>
        <w:pStyle w:val="3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绩效指标</w:t>
      </w:r>
    </w:p>
    <w:p w14:paraId="3FA4BF03"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三个大指标：产出指标、效益指标、满意度指标。</w:t>
      </w:r>
    </w:p>
    <w:p w14:paraId="13361D17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 w:leftChars="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二、绩效评价工作情况</w:t>
      </w:r>
    </w:p>
    <w:p w14:paraId="51127A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绩效评价目的</w:t>
      </w:r>
    </w:p>
    <w:p w14:paraId="4F6C61E5">
      <w:pPr>
        <w:pStyle w:val="7"/>
        <w:spacing w:line="480" w:lineRule="exact"/>
        <w:ind w:firstLine="420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加强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维稳经费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的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管理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服务党和国家工作大局，维护群众合法权利，化解信访突出问题，促进社会和谐稳定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。</w:t>
      </w:r>
    </w:p>
    <w:p w14:paraId="4463E6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" w:name="_Toc11844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（二）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被评价单位、绩效评价范围与时段</w:t>
      </w:r>
      <w:bookmarkEnd w:id="1"/>
    </w:p>
    <w:p w14:paraId="2B9412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2" w:name="_Toc31835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（三）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绩效评价原则、评价指标体系、评价方法</w:t>
      </w:r>
      <w:bookmarkEnd w:id="2"/>
    </w:p>
    <w:p w14:paraId="3A1A3C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3" w:name="_Toc32076"/>
      <w:bookmarkStart w:id="4" w:name="_Toc7615"/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三、主要绩效及评价结论</w:t>
      </w:r>
      <w:bookmarkEnd w:id="3"/>
      <w:bookmarkEnd w:id="4"/>
    </w:p>
    <w:p w14:paraId="75D1AE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社会效益</w:t>
      </w:r>
    </w:p>
    <w:p w14:paraId="62DCB0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（二）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生态效益</w:t>
      </w:r>
    </w:p>
    <w:p w14:paraId="53C0BD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（三）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可持续影响</w:t>
      </w:r>
    </w:p>
    <w:p w14:paraId="203C48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（四）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满意度情况</w:t>
      </w:r>
    </w:p>
    <w:p w14:paraId="5971E4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（五）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评价结论</w:t>
      </w:r>
    </w:p>
    <w:p w14:paraId="56E1F2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5" w:name="_Toc27541"/>
      <w:bookmarkStart w:id="6" w:name="_Toc16332"/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四、绩效评价指标分析</w:t>
      </w:r>
      <w:bookmarkEnd w:id="5"/>
      <w:bookmarkEnd w:id="6"/>
    </w:p>
    <w:p w14:paraId="0DFF22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7" w:name="_Toc17679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项目决策情况</w:t>
      </w:r>
      <w:bookmarkEnd w:id="7"/>
    </w:p>
    <w:p w14:paraId="441B2F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8" w:name="_Toc28411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（二）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项目过程情况</w:t>
      </w:r>
      <w:bookmarkEnd w:id="8"/>
    </w:p>
    <w:p w14:paraId="113807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9" w:name="_Toc10140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1.资金管理</w:t>
      </w:r>
      <w:bookmarkEnd w:id="9"/>
    </w:p>
    <w:p w14:paraId="514C08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0" w:name="_Toc1210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2.项目实施</w:t>
      </w:r>
      <w:bookmarkEnd w:id="10"/>
    </w:p>
    <w:p w14:paraId="35C7E1CC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1" w:name="_Toc6604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（三）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项目产出情况</w:t>
      </w:r>
      <w:bookmarkEnd w:id="11"/>
    </w:p>
    <w:p w14:paraId="537F9C15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2" w:name="_Toc20742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1.产出数量</w:t>
      </w:r>
      <w:bookmarkEnd w:id="12"/>
    </w:p>
    <w:p w14:paraId="0C5C4634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3" w:name="_Toc5372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2.产出质量</w:t>
      </w:r>
      <w:bookmarkEnd w:id="13"/>
    </w:p>
    <w:p w14:paraId="11C49073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4" w:name="_Toc25948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3.产出成本</w:t>
      </w:r>
      <w:bookmarkEnd w:id="14"/>
    </w:p>
    <w:p w14:paraId="0C392F4F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5" w:name="_Toc21477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4.产出时效</w:t>
      </w:r>
      <w:bookmarkEnd w:id="15"/>
    </w:p>
    <w:p w14:paraId="65860337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6" w:name="_Toc3072"/>
      <w:bookmarkStart w:id="17" w:name="_Toc12690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(四)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项目效益情况</w:t>
      </w:r>
      <w:bookmarkEnd w:id="16"/>
      <w:bookmarkEnd w:id="17"/>
    </w:p>
    <w:p w14:paraId="57CB80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8" w:name="_Toc390096931"/>
      <w:bookmarkStart w:id="19" w:name="_Toc390267055"/>
      <w:bookmarkStart w:id="20" w:name="_Toc12414"/>
      <w:bookmarkStart w:id="21" w:name="_Toc24241"/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五、项目主要经验、存在的问题</w:t>
      </w:r>
      <w:bookmarkEnd w:id="18"/>
      <w:bookmarkEnd w:id="19"/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及建议</w:t>
      </w:r>
      <w:bookmarkEnd w:id="20"/>
      <w:bookmarkEnd w:id="21"/>
    </w:p>
    <w:p w14:paraId="7E85C5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48" w:firstLineChars="20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22" w:name="_Toc23434"/>
      <w:bookmarkStart w:id="23" w:name="_Toc5316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项目主要经验</w:t>
      </w:r>
      <w:bookmarkEnd w:id="22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及做法</w:t>
      </w:r>
      <w:bookmarkEnd w:id="23"/>
    </w:p>
    <w:p w14:paraId="5B7A1E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24" w:name="_Toc2597"/>
      <w:bookmarkStart w:id="25" w:name="_Toc6772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（二）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存在的问题</w:t>
      </w:r>
      <w:bookmarkEnd w:id="24"/>
      <w:bookmarkEnd w:id="25"/>
    </w:p>
    <w:p w14:paraId="10E478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48" w:firstLineChars="20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</w:rPr>
      </w:pPr>
      <w:bookmarkStart w:id="26" w:name="_Toc29278"/>
      <w:bookmarkStart w:id="27" w:name="_Toc16271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（三）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有关建议</w:t>
      </w:r>
      <w:bookmarkEnd w:id="26"/>
      <w:bookmarkEnd w:id="27"/>
    </w:p>
    <w:p w14:paraId="2ED89C4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right="0" w:firstLine="640" w:firstLineChars="200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报告应包括以下附件：</w:t>
      </w:r>
    </w:p>
    <w:p w14:paraId="46DA084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right="0" w:firstLine="640" w:firstLineChars="200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项目支出绩效自评表（一个项目支出一张表）</w:t>
      </w:r>
    </w:p>
    <w:p w14:paraId="29540CD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right="0"/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  <w:lang w:val="en-US" w:eastAsia="zh-CN"/>
        </w:rPr>
      </w:pPr>
    </w:p>
    <w:p w14:paraId="79B3DF4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right="0"/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  <w:lang w:val="en-US" w:eastAsia="zh-CN"/>
        </w:rPr>
      </w:pPr>
    </w:p>
    <w:p w14:paraId="79B325D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2FBB9E0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4A93FD2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7AC6B18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457B423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34AF707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3646B9B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附件2-1</w:t>
      </w:r>
    </w:p>
    <w:p w14:paraId="497015FD">
      <w:pPr>
        <w:keepNext w:val="0"/>
        <w:keepLines w:val="0"/>
        <w:pageBreakBefore w:val="0"/>
        <w:widowControl/>
        <w:tabs>
          <w:tab w:val="left" w:pos="3611"/>
          <w:tab w:val="left" w:pos="4791"/>
          <w:tab w:val="left" w:pos="5951"/>
          <w:tab w:val="left" w:pos="7071"/>
          <w:tab w:val="left" w:pos="8191"/>
          <w:tab w:val="left" w:pos="931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atLeast"/>
        <w:ind w:left="0"/>
        <w:jc w:val="center"/>
        <w:textAlignment w:val="auto"/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</w:pP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项目支出绩效自评表</w:t>
      </w:r>
    </w:p>
    <w:tbl>
      <w:tblPr>
        <w:tblStyle w:val="5"/>
        <w:tblW w:w="98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5"/>
        <w:gridCol w:w="1075"/>
        <w:gridCol w:w="1073"/>
        <w:gridCol w:w="1144"/>
        <w:gridCol w:w="1205"/>
        <w:gridCol w:w="1131"/>
        <w:gridCol w:w="825"/>
        <w:gridCol w:w="916"/>
        <w:gridCol w:w="1407"/>
      </w:tblGrid>
      <w:tr w14:paraId="3F32D2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075" w:type="dxa"/>
            <w:noWrap w:val="0"/>
            <w:vAlign w:val="center"/>
          </w:tcPr>
          <w:p w14:paraId="7F5F7C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项目支</w:t>
            </w:r>
          </w:p>
          <w:p w14:paraId="384366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出名称</w:t>
            </w:r>
          </w:p>
        </w:tc>
        <w:tc>
          <w:tcPr>
            <w:tcW w:w="8776" w:type="dxa"/>
            <w:gridSpan w:val="8"/>
            <w:noWrap w:val="0"/>
            <w:vAlign w:val="center"/>
          </w:tcPr>
          <w:p w14:paraId="2FA860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维稳专项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7A9B0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075" w:type="dxa"/>
            <w:noWrap w:val="0"/>
            <w:vAlign w:val="center"/>
          </w:tcPr>
          <w:p w14:paraId="190489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4497" w:type="dxa"/>
            <w:gridSpan w:val="4"/>
            <w:noWrap w:val="0"/>
            <w:vAlign w:val="center"/>
          </w:tcPr>
          <w:p w14:paraId="2A8CE5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1" w:type="dxa"/>
            <w:noWrap w:val="0"/>
            <w:vAlign w:val="center"/>
          </w:tcPr>
          <w:p w14:paraId="37581B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3148" w:type="dxa"/>
            <w:gridSpan w:val="3"/>
            <w:noWrap w:val="0"/>
            <w:vAlign w:val="center"/>
          </w:tcPr>
          <w:p w14:paraId="67B04A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会同县信访局</w:t>
            </w:r>
          </w:p>
        </w:tc>
      </w:tr>
      <w:tr w14:paraId="0CFA8F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75" w:type="dxa"/>
            <w:vMerge w:val="restart"/>
            <w:noWrap w:val="0"/>
            <w:vAlign w:val="center"/>
          </w:tcPr>
          <w:p w14:paraId="048A8D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项目资金</w:t>
            </w:r>
          </w:p>
          <w:p w14:paraId="2595DB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148" w:type="dxa"/>
            <w:gridSpan w:val="2"/>
            <w:noWrap w:val="0"/>
            <w:vAlign w:val="center"/>
          </w:tcPr>
          <w:p w14:paraId="1029BC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44" w:type="dxa"/>
            <w:noWrap w:val="0"/>
            <w:vAlign w:val="center"/>
          </w:tcPr>
          <w:p w14:paraId="278ED0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年初</w:t>
            </w:r>
          </w:p>
          <w:p w14:paraId="5458F7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预算数</w:t>
            </w:r>
          </w:p>
        </w:tc>
        <w:tc>
          <w:tcPr>
            <w:tcW w:w="1205" w:type="dxa"/>
            <w:noWrap w:val="0"/>
            <w:vAlign w:val="center"/>
          </w:tcPr>
          <w:p w14:paraId="29F65E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全年</w:t>
            </w:r>
          </w:p>
          <w:p w14:paraId="515CDE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预算数</w:t>
            </w:r>
          </w:p>
        </w:tc>
        <w:tc>
          <w:tcPr>
            <w:tcW w:w="1131" w:type="dxa"/>
            <w:noWrap w:val="0"/>
            <w:vAlign w:val="center"/>
          </w:tcPr>
          <w:p w14:paraId="4A4BC8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全年</w:t>
            </w:r>
          </w:p>
          <w:p w14:paraId="701384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执行数</w:t>
            </w:r>
          </w:p>
        </w:tc>
        <w:tc>
          <w:tcPr>
            <w:tcW w:w="825" w:type="dxa"/>
            <w:noWrap w:val="0"/>
            <w:vAlign w:val="center"/>
          </w:tcPr>
          <w:p w14:paraId="7724EB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分值</w:t>
            </w:r>
          </w:p>
        </w:tc>
        <w:tc>
          <w:tcPr>
            <w:tcW w:w="916" w:type="dxa"/>
            <w:noWrap w:val="0"/>
            <w:vAlign w:val="center"/>
          </w:tcPr>
          <w:p w14:paraId="3A321D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执行率</w:t>
            </w:r>
          </w:p>
        </w:tc>
        <w:tc>
          <w:tcPr>
            <w:tcW w:w="1407" w:type="dxa"/>
            <w:noWrap w:val="0"/>
            <w:vAlign w:val="center"/>
          </w:tcPr>
          <w:p w14:paraId="58D70D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得分</w:t>
            </w:r>
          </w:p>
        </w:tc>
      </w:tr>
      <w:tr w14:paraId="7B4015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75" w:type="dxa"/>
            <w:vMerge w:val="continue"/>
            <w:noWrap w:val="0"/>
            <w:vAlign w:val="center"/>
          </w:tcPr>
          <w:p w14:paraId="7A965F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48" w:type="dxa"/>
            <w:gridSpan w:val="2"/>
            <w:noWrap w:val="0"/>
            <w:vAlign w:val="center"/>
          </w:tcPr>
          <w:p w14:paraId="143244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年度资金总额　</w:t>
            </w:r>
          </w:p>
        </w:tc>
        <w:tc>
          <w:tcPr>
            <w:tcW w:w="1144" w:type="dxa"/>
            <w:noWrap w:val="0"/>
            <w:vAlign w:val="center"/>
          </w:tcPr>
          <w:p w14:paraId="0C741D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102.8</w:t>
            </w:r>
          </w:p>
        </w:tc>
        <w:tc>
          <w:tcPr>
            <w:tcW w:w="1205" w:type="dxa"/>
            <w:noWrap w:val="0"/>
            <w:vAlign w:val="center"/>
          </w:tcPr>
          <w:p w14:paraId="073A35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177.19</w:t>
            </w:r>
          </w:p>
        </w:tc>
        <w:tc>
          <w:tcPr>
            <w:tcW w:w="1131" w:type="dxa"/>
            <w:noWrap w:val="0"/>
            <w:vAlign w:val="center"/>
          </w:tcPr>
          <w:p w14:paraId="0AC7E5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177.19</w:t>
            </w:r>
          </w:p>
        </w:tc>
        <w:tc>
          <w:tcPr>
            <w:tcW w:w="825" w:type="dxa"/>
            <w:noWrap w:val="0"/>
            <w:vAlign w:val="center"/>
          </w:tcPr>
          <w:p w14:paraId="46C33D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10</w:t>
            </w:r>
          </w:p>
        </w:tc>
        <w:tc>
          <w:tcPr>
            <w:tcW w:w="916" w:type="dxa"/>
            <w:noWrap w:val="0"/>
            <w:vAlign w:val="center"/>
          </w:tcPr>
          <w:p w14:paraId="0981E5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172.36%</w:t>
            </w:r>
          </w:p>
        </w:tc>
        <w:tc>
          <w:tcPr>
            <w:tcW w:w="1407" w:type="dxa"/>
            <w:noWrap w:val="0"/>
            <w:vAlign w:val="center"/>
          </w:tcPr>
          <w:p w14:paraId="226AFB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 w14:paraId="6588AB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75" w:type="dxa"/>
            <w:vMerge w:val="continue"/>
            <w:noWrap w:val="0"/>
            <w:vAlign w:val="center"/>
          </w:tcPr>
          <w:p w14:paraId="3D4559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48" w:type="dxa"/>
            <w:gridSpan w:val="2"/>
            <w:noWrap w:val="0"/>
            <w:vAlign w:val="center"/>
          </w:tcPr>
          <w:p w14:paraId="6C3837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其中：当年财政拨款　</w:t>
            </w:r>
          </w:p>
        </w:tc>
        <w:tc>
          <w:tcPr>
            <w:tcW w:w="1144" w:type="dxa"/>
            <w:noWrap w:val="0"/>
            <w:vAlign w:val="center"/>
          </w:tcPr>
          <w:p w14:paraId="35F2C2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05" w:type="dxa"/>
            <w:noWrap w:val="0"/>
            <w:vAlign w:val="center"/>
          </w:tcPr>
          <w:p w14:paraId="1DCD4C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1" w:type="dxa"/>
            <w:noWrap w:val="0"/>
            <w:vAlign w:val="center"/>
          </w:tcPr>
          <w:p w14:paraId="4EBCE5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5" w:type="dxa"/>
            <w:noWrap w:val="0"/>
            <w:vAlign w:val="center"/>
          </w:tcPr>
          <w:p w14:paraId="567C2F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916" w:type="dxa"/>
            <w:noWrap w:val="0"/>
            <w:vAlign w:val="center"/>
          </w:tcPr>
          <w:p w14:paraId="6221BC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07" w:type="dxa"/>
            <w:noWrap w:val="0"/>
            <w:vAlign w:val="center"/>
          </w:tcPr>
          <w:p w14:paraId="25CB6E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0F9238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75" w:type="dxa"/>
            <w:vMerge w:val="continue"/>
            <w:noWrap w:val="0"/>
            <w:vAlign w:val="center"/>
          </w:tcPr>
          <w:p w14:paraId="1F29FA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48" w:type="dxa"/>
            <w:gridSpan w:val="2"/>
            <w:noWrap w:val="0"/>
            <w:vAlign w:val="center"/>
          </w:tcPr>
          <w:p w14:paraId="6F0BAE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600" w:firstLineChars="30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上年结转资金　</w:t>
            </w:r>
          </w:p>
        </w:tc>
        <w:tc>
          <w:tcPr>
            <w:tcW w:w="1144" w:type="dxa"/>
            <w:noWrap w:val="0"/>
            <w:vAlign w:val="center"/>
          </w:tcPr>
          <w:p w14:paraId="28A6E5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05" w:type="dxa"/>
            <w:noWrap w:val="0"/>
            <w:vAlign w:val="center"/>
          </w:tcPr>
          <w:p w14:paraId="1946DB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1" w:type="dxa"/>
            <w:noWrap w:val="0"/>
            <w:vAlign w:val="center"/>
          </w:tcPr>
          <w:p w14:paraId="462FBD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5" w:type="dxa"/>
            <w:noWrap w:val="0"/>
            <w:vAlign w:val="center"/>
          </w:tcPr>
          <w:p w14:paraId="7809B4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916" w:type="dxa"/>
            <w:noWrap w:val="0"/>
            <w:vAlign w:val="center"/>
          </w:tcPr>
          <w:p w14:paraId="048D80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07" w:type="dxa"/>
            <w:noWrap w:val="0"/>
            <w:vAlign w:val="center"/>
          </w:tcPr>
          <w:p w14:paraId="6ABCB4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31D452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1075" w:type="dxa"/>
            <w:vMerge w:val="continue"/>
            <w:noWrap w:val="0"/>
            <w:vAlign w:val="center"/>
          </w:tcPr>
          <w:p w14:paraId="360B0D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48" w:type="dxa"/>
            <w:gridSpan w:val="2"/>
            <w:noWrap w:val="0"/>
            <w:vAlign w:val="center"/>
          </w:tcPr>
          <w:p w14:paraId="220614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600" w:firstLineChars="30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144" w:type="dxa"/>
            <w:noWrap w:val="0"/>
            <w:vAlign w:val="center"/>
          </w:tcPr>
          <w:p w14:paraId="5E0F32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05" w:type="dxa"/>
            <w:noWrap w:val="0"/>
            <w:vAlign w:val="center"/>
          </w:tcPr>
          <w:p w14:paraId="7FAFB6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1" w:type="dxa"/>
            <w:noWrap w:val="0"/>
            <w:vAlign w:val="center"/>
          </w:tcPr>
          <w:p w14:paraId="226746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5" w:type="dxa"/>
            <w:noWrap w:val="0"/>
            <w:vAlign w:val="center"/>
          </w:tcPr>
          <w:p w14:paraId="36B783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916" w:type="dxa"/>
            <w:noWrap w:val="0"/>
            <w:vAlign w:val="center"/>
          </w:tcPr>
          <w:p w14:paraId="038B1E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07" w:type="dxa"/>
            <w:noWrap w:val="0"/>
            <w:vAlign w:val="center"/>
          </w:tcPr>
          <w:p w14:paraId="1D9D44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777B4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075" w:type="dxa"/>
            <w:vMerge w:val="restart"/>
            <w:noWrap w:val="0"/>
            <w:vAlign w:val="center"/>
          </w:tcPr>
          <w:p w14:paraId="72BA5D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4497" w:type="dxa"/>
            <w:gridSpan w:val="4"/>
            <w:noWrap w:val="0"/>
            <w:vAlign w:val="center"/>
          </w:tcPr>
          <w:p w14:paraId="71E180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4279" w:type="dxa"/>
            <w:gridSpan w:val="4"/>
            <w:noWrap w:val="0"/>
            <w:vAlign w:val="center"/>
          </w:tcPr>
          <w:p w14:paraId="79FF75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实际完成情况　</w:t>
            </w:r>
          </w:p>
        </w:tc>
      </w:tr>
      <w:tr w14:paraId="589087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  <w:jc w:val="center"/>
        </w:trPr>
        <w:tc>
          <w:tcPr>
            <w:tcW w:w="1075" w:type="dxa"/>
            <w:vMerge w:val="continue"/>
            <w:noWrap w:val="0"/>
            <w:vAlign w:val="center"/>
          </w:tcPr>
          <w:p w14:paraId="407E1E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497" w:type="dxa"/>
            <w:gridSpan w:val="4"/>
            <w:noWrap w:val="0"/>
            <w:vAlign w:val="center"/>
          </w:tcPr>
          <w:p w14:paraId="2F5E84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热情接待来访群众，认真办理群众信访事项。2、组织做好接劝返工作。3、维特正常信访工作秩序。4、安保维稳值班及集案化解和困难救助完成维稳经费预算102.8万元，资金使用率100%　　</w:t>
            </w:r>
          </w:p>
        </w:tc>
        <w:tc>
          <w:tcPr>
            <w:tcW w:w="4279" w:type="dxa"/>
            <w:gridSpan w:val="4"/>
            <w:noWrap w:val="0"/>
            <w:vAlign w:val="center"/>
          </w:tcPr>
          <w:p w14:paraId="7A6888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热情接待来访群众，认真办理群众信访事项。2、组织做好接劝返工作。3、维特正常信访工作秩序。4、安保维稳值班及集案化解和困难救助完成维稳经费预算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177.19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万元，资金使用率100%</w:t>
            </w:r>
          </w:p>
        </w:tc>
      </w:tr>
      <w:tr w14:paraId="4C2734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1075" w:type="dxa"/>
            <w:vMerge w:val="restart"/>
            <w:noWrap w:val="0"/>
            <w:vAlign w:val="center"/>
          </w:tcPr>
          <w:p w14:paraId="7D4820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绩</w:t>
            </w:r>
          </w:p>
          <w:p w14:paraId="716B91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</w:t>
            </w:r>
          </w:p>
          <w:p w14:paraId="608A94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</w:t>
            </w:r>
          </w:p>
          <w:p w14:paraId="7D29D4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标</w:t>
            </w:r>
          </w:p>
        </w:tc>
        <w:tc>
          <w:tcPr>
            <w:tcW w:w="1075" w:type="dxa"/>
            <w:noWrap w:val="0"/>
            <w:vAlign w:val="center"/>
          </w:tcPr>
          <w:p w14:paraId="410DC6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073" w:type="dxa"/>
            <w:noWrap w:val="0"/>
            <w:vAlign w:val="center"/>
          </w:tcPr>
          <w:p w14:paraId="4CC72F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144" w:type="dxa"/>
            <w:noWrap w:val="0"/>
            <w:vAlign w:val="center"/>
          </w:tcPr>
          <w:p w14:paraId="376B88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205" w:type="dxa"/>
            <w:noWrap w:val="0"/>
            <w:vAlign w:val="center"/>
          </w:tcPr>
          <w:p w14:paraId="4BE126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</w:t>
            </w:r>
          </w:p>
          <w:p w14:paraId="7ED1BB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1131" w:type="dxa"/>
            <w:noWrap w:val="0"/>
            <w:vAlign w:val="center"/>
          </w:tcPr>
          <w:p w14:paraId="37046F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实际</w:t>
            </w:r>
          </w:p>
          <w:p w14:paraId="1D80C4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完成值</w:t>
            </w:r>
          </w:p>
        </w:tc>
        <w:tc>
          <w:tcPr>
            <w:tcW w:w="825" w:type="dxa"/>
            <w:noWrap w:val="0"/>
            <w:vAlign w:val="center"/>
          </w:tcPr>
          <w:p w14:paraId="70BB64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916" w:type="dxa"/>
            <w:noWrap w:val="0"/>
            <w:vAlign w:val="center"/>
          </w:tcPr>
          <w:p w14:paraId="7727C6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1407" w:type="dxa"/>
            <w:noWrap w:val="0"/>
            <w:vAlign w:val="center"/>
          </w:tcPr>
          <w:p w14:paraId="4D39D2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偏差原因</w:t>
            </w:r>
          </w:p>
          <w:p w14:paraId="255201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分析及</w:t>
            </w:r>
          </w:p>
          <w:p w14:paraId="077D57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改进措施</w:t>
            </w:r>
          </w:p>
        </w:tc>
      </w:tr>
      <w:tr w14:paraId="623B3F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75" w:type="dxa"/>
            <w:vMerge w:val="continue"/>
            <w:noWrap w:val="0"/>
            <w:vAlign w:val="center"/>
          </w:tcPr>
          <w:p w14:paraId="7F2D0E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5" w:type="dxa"/>
            <w:vMerge w:val="restart"/>
            <w:noWrap w:val="0"/>
            <w:vAlign w:val="center"/>
          </w:tcPr>
          <w:p w14:paraId="43B176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产出指标</w:t>
            </w:r>
          </w:p>
          <w:p w14:paraId="5242FE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50分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1073" w:type="dxa"/>
            <w:vMerge w:val="restart"/>
            <w:noWrap w:val="0"/>
            <w:vAlign w:val="center"/>
          </w:tcPr>
          <w:p w14:paraId="272E86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144" w:type="dxa"/>
            <w:noWrap w:val="0"/>
            <w:vAlign w:val="center"/>
          </w:tcPr>
          <w:p w14:paraId="3C747D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信访事项及时受理率、信访事项按期答复率</w:t>
            </w:r>
          </w:p>
        </w:tc>
        <w:tc>
          <w:tcPr>
            <w:tcW w:w="1205" w:type="dxa"/>
            <w:noWrap w:val="0"/>
            <w:vAlign w:val="center"/>
          </w:tcPr>
          <w:p w14:paraId="0230EA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131" w:type="dxa"/>
            <w:noWrap w:val="0"/>
            <w:vAlign w:val="center"/>
          </w:tcPr>
          <w:p w14:paraId="73E9B7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825" w:type="dxa"/>
            <w:noWrap w:val="0"/>
            <w:vAlign w:val="center"/>
          </w:tcPr>
          <w:p w14:paraId="5C4591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916" w:type="dxa"/>
            <w:noWrap w:val="0"/>
            <w:vAlign w:val="center"/>
          </w:tcPr>
          <w:p w14:paraId="2E00F1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07" w:type="dxa"/>
            <w:noWrap w:val="0"/>
            <w:vAlign w:val="center"/>
          </w:tcPr>
          <w:p w14:paraId="13B645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48310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75" w:type="dxa"/>
            <w:vMerge w:val="continue"/>
            <w:noWrap w:val="0"/>
            <w:vAlign w:val="center"/>
          </w:tcPr>
          <w:p w14:paraId="1E8816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5" w:type="dxa"/>
            <w:vMerge w:val="continue"/>
            <w:noWrap w:val="0"/>
            <w:vAlign w:val="center"/>
          </w:tcPr>
          <w:p w14:paraId="71309C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3" w:type="dxa"/>
            <w:vMerge w:val="continue"/>
            <w:noWrap w:val="0"/>
            <w:vAlign w:val="center"/>
          </w:tcPr>
          <w:p w14:paraId="192E74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4" w:type="dxa"/>
            <w:shd w:val="clear" w:color="auto" w:fill="auto"/>
            <w:noWrap w:val="0"/>
            <w:vAlign w:val="center"/>
          </w:tcPr>
          <w:p w14:paraId="4200691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值班人次54人次</w:t>
            </w:r>
          </w:p>
        </w:tc>
        <w:tc>
          <w:tcPr>
            <w:tcW w:w="1205" w:type="dxa"/>
            <w:noWrap w:val="0"/>
            <w:vAlign w:val="center"/>
          </w:tcPr>
          <w:p w14:paraId="5C3929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131" w:type="dxa"/>
            <w:noWrap w:val="0"/>
            <w:vAlign w:val="center"/>
          </w:tcPr>
          <w:p w14:paraId="5EF908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825" w:type="dxa"/>
            <w:noWrap w:val="0"/>
            <w:vAlign w:val="center"/>
          </w:tcPr>
          <w:p w14:paraId="3B6199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916" w:type="dxa"/>
            <w:noWrap w:val="0"/>
            <w:vAlign w:val="center"/>
          </w:tcPr>
          <w:p w14:paraId="1C5158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07" w:type="dxa"/>
            <w:noWrap w:val="0"/>
            <w:vAlign w:val="center"/>
          </w:tcPr>
          <w:p w14:paraId="58DDB3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32104A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75" w:type="dxa"/>
            <w:vMerge w:val="continue"/>
            <w:noWrap w:val="0"/>
            <w:vAlign w:val="center"/>
          </w:tcPr>
          <w:p w14:paraId="39B1E4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5" w:type="dxa"/>
            <w:vMerge w:val="continue"/>
            <w:noWrap w:val="0"/>
            <w:vAlign w:val="center"/>
          </w:tcPr>
          <w:p w14:paraId="0B9296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3" w:type="dxa"/>
            <w:noWrap w:val="0"/>
            <w:vAlign w:val="center"/>
          </w:tcPr>
          <w:p w14:paraId="1D47DF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144" w:type="dxa"/>
            <w:shd w:val="clear" w:color="auto" w:fill="auto"/>
            <w:noWrap w:val="0"/>
            <w:vAlign w:val="center"/>
          </w:tcPr>
          <w:p w14:paraId="0AA5E47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全年不发生因处置不当引发影响恶劣的重大群体性上访事件。</w:t>
            </w:r>
          </w:p>
        </w:tc>
        <w:tc>
          <w:tcPr>
            <w:tcW w:w="1205" w:type="dxa"/>
            <w:noWrap w:val="0"/>
            <w:vAlign w:val="center"/>
          </w:tcPr>
          <w:p w14:paraId="2E27E0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131" w:type="dxa"/>
            <w:noWrap w:val="0"/>
            <w:vAlign w:val="center"/>
          </w:tcPr>
          <w:p w14:paraId="272723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825" w:type="dxa"/>
            <w:noWrap w:val="0"/>
            <w:vAlign w:val="center"/>
          </w:tcPr>
          <w:p w14:paraId="09C217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916" w:type="dxa"/>
            <w:noWrap w:val="0"/>
            <w:vAlign w:val="center"/>
          </w:tcPr>
          <w:p w14:paraId="0E5179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07" w:type="dxa"/>
            <w:noWrap w:val="0"/>
            <w:vAlign w:val="center"/>
          </w:tcPr>
          <w:p w14:paraId="06C67C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6C6D14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75" w:type="dxa"/>
            <w:vMerge w:val="continue"/>
            <w:noWrap w:val="0"/>
            <w:vAlign w:val="center"/>
          </w:tcPr>
          <w:p w14:paraId="7766DA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5" w:type="dxa"/>
            <w:vMerge w:val="continue"/>
            <w:noWrap w:val="0"/>
            <w:vAlign w:val="center"/>
          </w:tcPr>
          <w:p w14:paraId="2767CD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3" w:type="dxa"/>
            <w:noWrap w:val="0"/>
            <w:vAlign w:val="center"/>
          </w:tcPr>
          <w:p w14:paraId="1B4C3C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144" w:type="dxa"/>
            <w:shd w:val="clear" w:color="auto" w:fill="auto"/>
            <w:noWrap w:val="0"/>
            <w:vAlign w:val="center"/>
          </w:tcPr>
          <w:p w14:paraId="401093E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2023年12月完成时间</w:t>
            </w:r>
          </w:p>
        </w:tc>
        <w:tc>
          <w:tcPr>
            <w:tcW w:w="1205" w:type="dxa"/>
            <w:noWrap w:val="0"/>
            <w:vAlign w:val="center"/>
          </w:tcPr>
          <w:p w14:paraId="364E43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131" w:type="dxa"/>
            <w:noWrap w:val="0"/>
            <w:vAlign w:val="center"/>
          </w:tcPr>
          <w:p w14:paraId="0FA776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825" w:type="dxa"/>
            <w:noWrap w:val="0"/>
            <w:vAlign w:val="center"/>
          </w:tcPr>
          <w:p w14:paraId="06411D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916" w:type="dxa"/>
            <w:noWrap w:val="0"/>
            <w:vAlign w:val="center"/>
          </w:tcPr>
          <w:p w14:paraId="6B2E2F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07" w:type="dxa"/>
            <w:noWrap w:val="0"/>
            <w:vAlign w:val="center"/>
          </w:tcPr>
          <w:p w14:paraId="10CC2A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3750F5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75" w:type="dxa"/>
            <w:vMerge w:val="continue"/>
            <w:noWrap w:val="0"/>
            <w:vAlign w:val="center"/>
          </w:tcPr>
          <w:p w14:paraId="5B1607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5" w:type="dxa"/>
            <w:vMerge w:val="continue"/>
            <w:noWrap w:val="0"/>
            <w:vAlign w:val="center"/>
          </w:tcPr>
          <w:p w14:paraId="756452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3" w:type="dxa"/>
            <w:noWrap w:val="0"/>
            <w:vAlign w:val="center"/>
          </w:tcPr>
          <w:p w14:paraId="15ABD0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144" w:type="dxa"/>
            <w:shd w:val="clear" w:color="auto" w:fill="auto"/>
            <w:noWrap w:val="0"/>
            <w:vAlign w:val="center"/>
          </w:tcPr>
          <w:p w14:paraId="653B70D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维稳专项支出177.19万元：其中信访维稳费134.68万元；办公费32.78万元；咨询费0.97万元：印刷费8.76万元</w:t>
            </w:r>
          </w:p>
        </w:tc>
        <w:tc>
          <w:tcPr>
            <w:tcW w:w="1205" w:type="dxa"/>
            <w:noWrap w:val="0"/>
            <w:vAlign w:val="center"/>
          </w:tcPr>
          <w:p w14:paraId="4D715F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131" w:type="dxa"/>
            <w:noWrap w:val="0"/>
            <w:vAlign w:val="center"/>
          </w:tcPr>
          <w:p w14:paraId="0943FC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825" w:type="dxa"/>
            <w:noWrap w:val="0"/>
            <w:vAlign w:val="center"/>
          </w:tcPr>
          <w:p w14:paraId="54FB67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916" w:type="dxa"/>
            <w:noWrap w:val="0"/>
            <w:vAlign w:val="center"/>
          </w:tcPr>
          <w:p w14:paraId="258017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07" w:type="dxa"/>
            <w:noWrap w:val="0"/>
            <w:vAlign w:val="center"/>
          </w:tcPr>
          <w:p w14:paraId="5566F2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02E64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75" w:type="dxa"/>
            <w:vMerge w:val="continue"/>
            <w:noWrap w:val="0"/>
            <w:vAlign w:val="center"/>
          </w:tcPr>
          <w:p w14:paraId="69948D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5" w:type="dxa"/>
            <w:vMerge w:val="restart"/>
            <w:noWrap w:val="0"/>
            <w:vAlign w:val="center"/>
          </w:tcPr>
          <w:p w14:paraId="0C7FE0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效益指标</w:t>
            </w:r>
          </w:p>
          <w:p w14:paraId="72FAB4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（30分）</w:t>
            </w:r>
          </w:p>
        </w:tc>
        <w:tc>
          <w:tcPr>
            <w:tcW w:w="1073" w:type="dxa"/>
            <w:vMerge w:val="restart"/>
            <w:noWrap w:val="0"/>
            <w:vAlign w:val="center"/>
          </w:tcPr>
          <w:p w14:paraId="7339AB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经济效</w:t>
            </w:r>
          </w:p>
          <w:p w14:paraId="7D5BD4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4" w:type="dxa"/>
            <w:noWrap w:val="0"/>
            <w:vAlign w:val="center"/>
          </w:tcPr>
          <w:p w14:paraId="0CBE01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05" w:type="dxa"/>
            <w:noWrap w:val="0"/>
            <w:vAlign w:val="center"/>
          </w:tcPr>
          <w:p w14:paraId="392DE9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1" w:type="dxa"/>
            <w:noWrap w:val="0"/>
            <w:vAlign w:val="center"/>
          </w:tcPr>
          <w:p w14:paraId="51A644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5" w:type="dxa"/>
            <w:noWrap w:val="0"/>
            <w:vAlign w:val="center"/>
          </w:tcPr>
          <w:p w14:paraId="0F51F4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916" w:type="dxa"/>
            <w:noWrap w:val="0"/>
            <w:vAlign w:val="center"/>
          </w:tcPr>
          <w:p w14:paraId="3C1AD8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07" w:type="dxa"/>
            <w:noWrap w:val="0"/>
            <w:vAlign w:val="center"/>
          </w:tcPr>
          <w:p w14:paraId="6178DA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0E95F6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75" w:type="dxa"/>
            <w:vMerge w:val="continue"/>
            <w:noWrap w:val="0"/>
            <w:vAlign w:val="center"/>
          </w:tcPr>
          <w:p w14:paraId="3BAB38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5" w:type="dxa"/>
            <w:vMerge w:val="continue"/>
            <w:noWrap w:val="0"/>
            <w:vAlign w:val="center"/>
          </w:tcPr>
          <w:p w14:paraId="60F0CA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3" w:type="dxa"/>
            <w:vMerge w:val="continue"/>
            <w:noWrap w:val="0"/>
            <w:vAlign w:val="center"/>
          </w:tcPr>
          <w:p w14:paraId="6D9C03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4" w:type="dxa"/>
            <w:noWrap w:val="0"/>
            <w:vAlign w:val="center"/>
          </w:tcPr>
          <w:p w14:paraId="3BFEE9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1205" w:type="dxa"/>
            <w:noWrap w:val="0"/>
            <w:vAlign w:val="center"/>
          </w:tcPr>
          <w:p w14:paraId="473EFB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1" w:type="dxa"/>
            <w:noWrap w:val="0"/>
            <w:vAlign w:val="center"/>
          </w:tcPr>
          <w:p w14:paraId="012BC5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5" w:type="dxa"/>
            <w:noWrap w:val="0"/>
            <w:vAlign w:val="center"/>
          </w:tcPr>
          <w:p w14:paraId="50DA43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916" w:type="dxa"/>
            <w:noWrap w:val="0"/>
            <w:vAlign w:val="center"/>
          </w:tcPr>
          <w:p w14:paraId="28020B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07" w:type="dxa"/>
            <w:noWrap w:val="0"/>
            <w:vAlign w:val="center"/>
          </w:tcPr>
          <w:p w14:paraId="7A02D6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7F0517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75" w:type="dxa"/>
            <w:vMerge w:val="continue"/>
            <w:noWrap w:val="0"/>
            <w:vAlign w:val="center"/>
          </w:tcPr>
          <w:p w14:paraId="09EE9C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5" w:type="dxa"/>
            <w:vMerge w:val="continue"/>
            <w:noWrap w:val="0"/>
            <w:vAlign w:val="center"/>
          </w:tcPr>
          <w:p w14:paraId="15CBA9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3" w:type="dxa"/>
            <w:noWrap w:val="0"/>
            <w:vAlign w:val="center"/>
          </w:tcPr>
          <w:p w14:paraId="73F66E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社会效</w:t>
            </w:r>
          </w:p>
          <w:p w14:paraId="56AAE7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4" w:type="dxa"/>
            <w:shd w:val="clear" w:color="auto" w:fill="auto"/>
            <w:noWrap w:val="0"/>
            <w:vAlign w:val="center"/>
          </w:tcPr>
          <w:p w14:paraId="2228522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维护社会和谐稳定</w:t>
            </w:r>
          </w:p>
        </w:tc>
        <w:tc>
          <w:tcPr>
            <w:tcW w:w="1205" w:type="dxa"/>
            <w:noWrap w:val="0"/>
            <w:vAlign w:val="center"/>
          </w:tcPr>
          <w:p w14:paraId="725A5A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131" w:type="dxa"/>
            <w:noWrap w:val="0"/>
            <w:vAlign w:val="center"/>
          </w:tcPr>
          <w:p w14:paraId="2598E8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825" w:type="dxa"/>
            <w:noWrap w:val="0"/>
            <w:vAlign w:val="center"/>
          </w:tcPr>
          <w:p w14:paraId="18BC02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916" w:type="dxa"/>
            <w:noWrap w:val="0"/>
            <w:vAlign w:val="center"/>
          </w:tcPr>
          <w:p w14:paraId="6D85DA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1407" w:type="dxa"/>
            <w:noWrap w:val="0"/>
            <w:vAlign w:val="center"/>
          </w:tcPr>
          <w:p w14:paraId="59A05B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469490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75" w:type="dxa"/>
            <w:vMerge w:val="continue"/>
            <w:noWrap w:val="0"/>
            <w:vAlign w:val="center"/>
          </w:tcPr>
          <w:p w14:paraId="02F60A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5" w:type="dxa"/>
            <w:vMerge w:val="continue"/>
            <w:noWrap w:val="0"/>
            <w:vAlign w:val="center"/>
          </w:tcPr>
          <w:p w14:paraId="5F0E38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3" w:type="dxa"/>
            <w:vMerge w:val="restart"/>
            <w:noWrap w:val="0"/>
            <w:vAlign w:val="center"/>
          </w:tcPr>
          <w:p w14:paraId="3220AB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生态效</w:t>
            </w:r>
          </w:p>
          <w:p w14:paraId="755BB1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4" w:type="dxa"/>
            <w:noWrap w:val="0"/>
            <w:vAlign w:val="center"/>
          </w:tcPr>
          <w:p w14:paraId="1D2E30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05" w:type="dxa"/>
            <w:noWrap w:val="0"/>
            <w:vAlign w:val="center"/>
          </w:tcPr>
          <w:p w14:paraId="71CFDE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1" w:type="dxa"/>
            <w:noWrap w:val="0"/>
            <w:vAlign w:val="center"/>
          </w:tcPr>
          <w:p w14:paraId="375AFD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5" w:type="dxa"/>
            <w:noWrap w:val="0"/>
            <w:vAlign w:val="center"/>
          </w:tcPr>
          <w:p w14:paraId="012803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916" w:type="dxa"/>
            <w:noWrap w:val="0"/>
            <w:vAlign w:val="center"/>
          </w:tcPr>
          <w:p w14:paraId="45852E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07" w:type="dxa"/>
            <w:noWrap w:val="0"/>
            <w:vAlign w:val="center"/>
          </w:tcPr>
          <w:p w14:paraId="7012F3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5D5D74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75" w:type="dxa"/>
            <w:vMerge w:val="continue"/>
            <w:noWrap w:val="0"/>
            <w:vAlign w:val="center"/>
          </w:tcPr>
          <w:p w14:paraId="76DEED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5" w:type="dxa"/>
            <w:vMerge w:val="continue"/>
            <w:noWrap w:val="0"/>
            <w:vAlign w:val="center"/>
          </w:tcPr>
          <w:p w14:paraId="0C6AEB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3" w:type="dxa"/>
            <w:vMerge w:val="continue"/>
            <w:noWrap w:val="0"/>
            <w:vAlign w:val="center"/>
          </w:tcPr>
          <w:p w14:paraId="4CF743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4" w:type="dxa"/>
            <w:noWrap w:val="0"/>
            <w:vAlign w:val="center"/>
          </w:tcPr>
          <w:p w14:paraId="5BD709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1205" w:type="dxa"/>
            <w:noWrap w:val="0"/>
            <w:vAlign w:val="center"/>
          </w:tcPr>
          <w:p w14:paraId="63E918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1" w:type="dxa"/>
            <w:noWrap w:val="0"/>
            <w:vAlign w:val="center"/>
          </w:tcPr>
          <w:p w14:paraId="153A25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5" w:type="dxa"/>
            <w:noWrap w:val="0"/>
            <w:vAlign w:val="center"/>
          </w:tcPr>
          <w:p w14:paraId="5D9923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916" w:type="dxa"/>
            <w:noWrap w:val="0"/>
            <w:vAlign w:val="center"/>
          </w:tcPr>
          <w:p w14:paraId="7758C3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07" w:type="dxa"/>
            <w:noWrap w:val="0"/>
            <w:vAlign w:val="center"/>
          </w:tcPr>
          <w:p w14:paraId="22A66D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6B1507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75" w:type="dxa"/>
            <w:vMerge w:val="continue"/>
            <w:noWrap w:val="0"/>
            <w:vAlign w:val="center"/>
          </w:tcPr>
          <w:p w14:paraId="1F6881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5" w:type="dxa"/>
            <w:vMerge w:val="continue"/>
            <w:noWrap w:val="0"/>
            <w:vAlign w:val="center"/>
          </w:tcPr>
          <w:p w14:paraId="28DFB7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3" w:type="dxa"/>
            <w:noWrap w:val="0"/>
            <w:vAlign w:val="center"/>
          </w:tcPr>
          <w:p w14:paraId="619CAA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1144" w:type="dxa"/>
            <w:shd w:val="clear" w:color="auto" w:fill="auto"/>
            <w:noWrap w:val="0"/>
            <w:vAlign w:val="center"/>
          </w:tcPr>
          <w:p w14:paraId="45BC2DE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可持续影响数年以上</w:t>
            </w:r>
          </w:p>
        </w:tc>
        <w:tc>
          <w:tcPr>
            <w:tcW w:w="1205" w:type="dxa"/>
            <w:noWrap w:val="0"/>
            <w:vAlign w:val="center"/>
          </w:tcPr>
          <w:p w14:paraId="70A959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131" w:type="dxa"/>
            <w:noWrap w:val="0"/>
            <w:vAlign w:val="center"/>
          </w:tcPr>
          <w:p w14:paraId="44D4B2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825" w:type="dxa"/>
            <w:noWrap w:val="0"/>
            <w:vAlign w:val="center"/>
          </w:tcPr>
          <w:p w14:paraId="0D2CBE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916" w:type="dxa"/>
            <w:noWrap w:val="0"/>
            <w:vAlign w:val="center"/>
          </w:tcPr>
          <w:p w14:paraId="6734AB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1407" w:type="dxa"/>
            <w:noWrap w:val="0"/>
            <w:vAlign w:val="center"/>
          </w:tcPr>
          <w:p w14:paraId="4CE252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103004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75" w:type="dxa"/>
            <w:vMerge w:val="continue"/>
            <w:noWrap w:val="0"/>
            <w:vAlign w:val="center"/>
          </w:tcPr>
          <w:p w14:paraId="1E1BD4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5" w:type="dxa"/>
            <w:noWrap w:val="0"/>
            <w:vAlign w:val="center"/>
          </w:tcPr>
          <w:p w14:paraId="4E38A6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满意度</w:t>
            </w:r>
          </w:p>
          <w:p w14:paraId="18036B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</w:t>
            </w:r>
          </w:p>
          <w:p w14:paraId="412DF1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（10分）</w:t>
            </w:r>
          </w:p>
        </w:tc>
        <w:tc>
          <w:tcPr>
            <w:tcW w:w="1073" w:type="dxa"/>
            <w:noWrap w:val="0"/>
            <w:vAlign w:val="center"/>
          </w:tcPr>
          <w:p w14:paraId="3A94B7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1144" w:type="dxa"/>
            <w:shd w:val="clear" w:color="auto" w:fill="auto"/>
            <w:noWrap w:val="0"/>
            <w:vAlign w:val="center"/>
          </w:tcPr>
          <w:p w14:paraId="7C1AFDE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电话调查或走访服务对象及社会公众的满意率</w:t>
            </w:r>
          </w:p>
        </w:tc>
        <w:tc>
          <w:tcPr>
            <w:tcW w:w="1205" w:type="dxa"/>
            <w:noWrap w:val="0"/>
            <w:vAlign w:val="center"/>
          </w:tcPr>
          <w:p w14:paraId="55505A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90%</w:t>
            </w:r>
          </w:p>
        </w:tc>
        <w:tc>
          <w:tcPr>
            <w:tcW w:w="1131" w:type="dxa"/>
            <w:noWrap w:val="0"/>
            <w:vAlign w:val="center"/>
          </w:tcPr>
          <w:p w14:paraId="372710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95%</w:t>
            </w:r>
          </w:p>
        </w:tc>
        <w:tc>
          <w:tcPr>
            <w:tcW w:w="825" w:type="dxa"/>
            <w:noWrap w:val="0"/>
            <w:vAlign w:val="center"/>
          </w:tcPr>
          <w:p w14:paraId="0524B0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916" w:type="dxa"/>
            <w:noWrap w:val="0"/>
            <w:vAlign w:val="center"/>
          </w:tcPr>
          <w:p w14:paraId="79E062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07" w:type="dxa"/>
            <w:noWrap w:val="0"/>
            <w:vAlign w:val="center"/>
          </w:tcPr>
          <w:p w14:paraId="7E0B01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17BD6E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03" w:type="dxa"/>
            <w:gridSpan w:val="6"/>
            <w:noWrap w:val="0"/>
            <w:vAlign w:val="center"/>
          </w:tcPr>
          <w:p w14:paraId="6B9EC5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825" w:type="dxa"/>
            <w:noWrap w:val="0"/>
            <w:vAlign w:val="center"/>
          </w:tcPr>
          <w:p w14:paraId="38C35C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916" w:type="dxa"/>
            <w:noWrap w:val="0"/>
            <w:vAlign w:val="center"/>
          </w:tcPr>
          <w:p w14:paraId="6A38AD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90</w:t>
            </w:r>
            <w:bookmarkStart w:id="28" w:name="_GoBack"/>
            <w:bookmarkEnd w:id="28"/>
          </w:p>
        </w:tc>
        <w:tc>
          <w:tcPr>
            <w:tcW w:w="1407" w:type="dxa"/>
            <w:noWrap w:val="0"/>
            <w:vAlign w:val="center"/>
          </w:tcPr>
          <w:p w14:paraId="3ED3C1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</w:tbl>
    <w:p w14:paraId="0429DAA5">
      <w:pPr>
        <w:widowControl w:val="0"/>
        <w:kinsoku/>
        <w:autoSpaceDE/>
        <w:autoSpaceDN/>
        <w:adjustRightInd/>
        <w:snapToGrid/>
        <w:spacing w:line="600" w:lineRule="exact"/>
        <w:jc w:val="both"/>
        <w:textAlignment w:val="auto"/>
        <w:rPr>
          <w:rFonts w:hint="default"/>
          <w:lang w:val="en-US" w:eastAsia="zh-CN"/>
        </w:rPr>
      </w:pP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填表人：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</w:t>
      </w:r>
      <w:r>
        <w:rPr>
          <w:rFonts w:hint="eastAsia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杨丽钰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 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填报日期：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</w:t>
      </w:r>
      <w:r>
        <w:rPr>
          <w:rFonts w:hint="eastAsia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2024.8.8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联系电话：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</w:t>
      </w:r>
      <w:r>
        <w:rPr>
          <w:rFonts w:hint="eastAsia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15874510896</w:t>
      </w:r>
    </w:p>
    <w:p w14:paraId="690A0D0A"/>
    <w:p w14:paraId="4B2BD92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1FA8AD4"/>
    <w:multiLevelType w:val="singleLevel"/>
    <w:tmpl w:val="F1FA8AD4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7106708"/>
    <w:multiLevelType w:val="singleLevel"/>
    <w:tmpl w:val="07106708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JlMzM1ZDg4ZDRhZmEwYWU4M2M1OTU5OTFjMzNhZjkifQ=="/>
  </w:docVars>
  <w:rsids>
    <w:rsidRoot w:val="096D028F"/>
    <w:rsid w:val="01B83CAA"/>
    <w:rsid w:val="096D028F"/>
    <w:rsid w:val="0C654F6B"/>
    <w:rsid w:val="0E642B06"/>
    <w:rsid w:val="0FEA1406"/>
    <w:rsid w:val="11091664"/>
    <w:rsid w:val="13A44AF4"/>
    <w:rsid w:val="13CD729A"/>
    <w:rsid w:val="15633F34"/>
    <w:rsid w:val="185E4773"/>
    <w:rsid w:val="19782482"/>
    <w:rsid w:val="23812EA7"/>
    <w:rsid w:val="244A5295"/>
    <w:rsid w:val="263D018B"/>
    <w:rsid w:val="26A4313F"/>
    <w:rsid w:val="26C674FA"/>
    <w:rsid w:val="29632CA9"/>
    <w:rsid w:val="296360E6"/>
    <w:rsid w:val="2C7F3EE9"/>
    <w:rsid w:val="2CC85EE2"/>
    <w:rsid w:val="2DAD5552"/>
    <w:rsid w:val="2DC93154"/>
    <w:rsid w:val="2E41718E"/>
    <w:rsid w:val="2F1D0BCF"/>
    <w:rsid w:val="322546D1"/>
    <w:rsid w:val="358768A1"/>
    <w:rsid w:val="370E7E29"/>
    <w:rsid w:val="3A6B5356"/>
    <w:rsid w:val="3B1B0559"/>
    <w:rsid w:val="3F9810EA"/>
    <w:rsid w:val="41A56F7C"/>
    <w:rsid w:val="431C29D6"/>
    <w:rsid w:val="44B07370"/>
    <w:rsid w:val="44CD20C7"/>
    <w:rsid w:val="4A6C1900"/>
    <w:rsid w:val="4FBA57CC"/>
    <w:rsid w:val="53AF0CB5"/>
    <w:rsid w:val="57071993"/>
    <w:rsid w:val="594F6BA8"/>
    <w:rsid w:val="5AE46A98"/>
    <w:rsid w:val="5D7B5F17"/>
    <w:rsid w:val="61060491"/>
    <w:rsid w:val="61DD394A"/>
    <w:rsid w:val="625D24C4"/>
    <w:rsid w:val="63E909C2"/>
    <w:rsid w:val="723143F0"/>
    <w:rsid w:val="72633ACF"/>
    <w:rsid w:val="73E2573C"/>
    <w:rsid w:val="77D7628B"/>
    <w:rsid w:val="7BF36DE0"/>
    <w:rsid w:val="7C3B017E"/>
    <w:rsid w:val="7C66113B"/>
    <w:rsid w:val="7F6D5F01"/>
    <w:rsid w:val="7F8E3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unhideWhenUsed/>
    <w:qFormat/>
    <w:uiPriority w:val="0"/>
    <w:pPr>
      <w:spacing w:beforeLines="0" w:afterLines="0"/>
      <w:ind w:firstLine="640" w:firstLineChars="200"/>
    </w:pPr>
    <w:rPr>
      <w:rFonts w:hint="default"/>
      <w:sz w:val="32"/>
    </w:rPr>
  </w:style>
  <w:style w:type="paragraph" w:styleId="3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">
    <w:name w:val="Body Text First Indent 2"/>
    <w:basedOn w:val="2"/>
    <w:unhideWhenUsed/>
    <w:qFormat/>
    <w:uiPriority w:val="99"/>
    <w:pPr>
      <w:spacing w:beforeLines="0" w:afterLines="0"/>
      <w:ind w:firstLine="420"/>
    </w:pPr>
    <w:rPr>
      <w:rFonts w:hint="default"/>
      <w:sz w:val="32"/>
    </w:rPr>
  </w:style>
  <w:style w:type="paragraph" w:customStyle="1" w:styleId="7">
    <w:name w:val="p0"/>
    <w:basedOn w:val="1"/>
    <w:autoRedefine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1686</Words>
  <Characters>1926</Characters>
  <Lines>0</Lines>
  <Paragraphs>0</Paragraphs>
  <TotalTime>149</TotalTime>
  <ScaleCrop>false</ScaleCrop>
  <LinksUpToDate>false</LinksUpToDate>
  <CharactersWithSpaces>2038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2024-08-14T07:55:00Z</dcterms:created>
  <dc:creator>001</dc:creator>
  <cp:lastModifiedBy>Administrator</cp:lastModifiedBy>
  <dcterms:modified xsi:type="dcterms:W3CDTF">2024-09-03T03:39:43Z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27072FC8F8EB4403A725E1A905C5CCAE_11</vt:lpwstr>
  </property>
</Properties>
</file>