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4D83AAD8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5673940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eastAsia="zh-CN"/>
        </w:rPr>
        <w:t>《会同党史第二卷》（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  <w:t>1978-2012）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26545059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562CAACA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471871E0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5F087FF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本单位职能主要负责全县的史志、年鉴征编，为社会和经济建设服务。为了连续反映党建国以来各个历史时期的光辉历程，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以史为鉴，达到存史、资政、育人目的，加强群众对党的知识的宣传教育，把《会同党史第二卷》（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val="en-US" w:eastAsia="zh-CN"/>
        </w:rPr>
        <w:t>1978-2012）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编纂列为专项目资金，纳入年初预算。</w:t>
      </w:r>
    </w:p>
    <w:p w14:paraId="4B4157B1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2.项目主要内容</w:t>
      </w:r>
    </w:p>
    <w:p w14:paraId="6E5E8CC2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该项目属于公益性服务项目，项目在《会同党史第一卷》的基础上，完成后用途主要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记录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、宣传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县党组织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历史发展变革及重大事件及辉煌成就，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发挥存史资政育人作用，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仿宋"/>
          <w:sz w:val="32"/>
          <w:szCs w:val="32"/>
        </w:rPr>
        <w:t>各界党政领导科学决策提供依据，为社会各界人士提供免费赠阅、查询服务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。项目涉及的范围是</w:t>
      </w:r>
      <w:r>
        <w:rPr>
          <w:rFonts w:hint="eastAsia" w:ascii="仿宋" w:hAnsi="仿宋" w:eastAsia="仿宋" w:cs="仿宋"/>
          <w:sz w:val="32"/>
          <w:szCs w:val="32"/>
        </w:rPr>
        <w:t>会同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党组织在</w:t>
      </w:r>
      <w:r>
        <w:rPr>
          <w:rFonts w:hint="eastAsia" w:ascii="仿宋" w:hAnsi="仿宋" w:eastAsia="仿宋" w:cs="仿宋"/>
          <w:sz w:val="32"/>
          <w:szCs w:val="32"/>
        </w:rPr>
        <w:t>1978--2012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年期间各个历史时期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史料信息。</w:t>
      </w:r>
    </w:p>
    <w:p w14:paraId="64DD0881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3.项目组织管理机构</w:t>
      </w:r>
      <w:bookmarkStart w:id="0" w:name="_Toc10810"/>
    </w:p>
    <w:p w14:paraId="4E659AC0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项目组织管理机构为会同县史志研究室。</w:t>
      </w:r>
    </w:p>
    <w:p w14:paraId="1B7F760A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（二）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况</w:t>
      </w:r>
    </w:p>
    <w:p w14:paraId="6F1FC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1502C92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（1）资金来源及拨付流程</w:t>
      </w:r>
    </w:p>
    <w:p w14:paraId="13C31212">
      <w:pPr>
        <w:ind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《会同党史第二卷》（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val="en-US" w:eastAsia="zh-CN"/>
        </w:rPr>
        <w:t>1978-2012）编纂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专项预算</w:t>
      </w:r>
      <w:r>
        <w:rPr>
          <w:rFonts w:hint="eastAsia" w:ascii="仿宋" w:hAnsi="仿宋" w:eastAsia="仿宋" w:cs="仿宋"/>
          <w:sz w:val="32"/>
          <w:szCs w:val="32"/>
        </w:rPr>
        <w:t>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2.4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主要是围绕《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会同党史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》编纂开展工作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资金来源全部为县财政拨款，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其中办公费用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0.5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印刷费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0.5万元，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差旅费用0.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万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，维修（护）费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0.2万元，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其他商品和服务支出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1万元。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资金纳入县财政年初预算，经单位进行项目申报后，通过预算管理一体化系统拨付到单位指标中。</w:t>
      </w:r>
    </w:p>
    <w:p w14:paraId="5737A3B9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38EE3EA6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" w:hAnsi="仿宋" w:eastAsia="仿宋"/>
          <w:sz w:val="32"/>
          <w:szCs w:val="32"/>
          <w:lang w:eastAsia="zh-CN"/>
        </w:rPr>
        <w:t>2023</w:t>
      </w:r>
      <w:r>
        <w:rPr>
          <w:rFonts w:hint="eastAsia" w:ascii="仿宋" w:hAnsi="仿宋" w:eastAsia="仿宋"/>
          <w:sz w:val="32"/>
          <w:szCs w:val="32"/>
        </w:rPr>
        <w:t>年，县财政</w:t>
      </w:r>
      <w:r>
        <w:rPr>
          <w:rFonts w:hint="eastAsia" w:ascii="仿宋" w:hAnsi="仿宋" w:eastAsia="仿宋"/>
          <w:sz w:val="32"/>
          <w:szCs w:val="32"/>
          <w:lang w:eastAsia="zh-CN"/>
        </w:rPr>
        <w:t>下达《</w:t>
      </w:r>
      <w:r>
        <w:rPr>
          <w:rFonts w:hint="eastAsia" w:ascii="仿宋" w:hAnsi="仿宋" w:eastAsia="仿宋"/>
          <w:sz w:val="32"/>
          <w:szCs w:val="32"/>
        </w:rPr>
        <w:t>会同</w:t>
      </w:r>
      <w:r>
        <w:rPr>
          <w:rFonts w:hint="eastAsia" w:ascii="仿宋" w:hAnsi="仿宋" w:eastAsia="仿宋"/>
          <w:sz w:val="32"/>
          <w:szCs w:val="32"/>
          <w:lang w:eastAsia="zh-CN"/>
        </w:rPr>
        <w:t>党史》</w:t>
      </w:r>
      <w:r>
        <w:rPr>
          <w:rFonts w:hint="eastAsia" w:ascii="仿宋" w:hAnsi="仿宋" w:eastAsia="仿宋"/>
          <w:sz w:val="32"/>
          <w:szCs w:val="32"/>
        </w:rPr>
        <w:t>项目专项资金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2.4</w:t>
      </w:r>
      <w:r>
        <w:rPr>
          <w:rFonts w:hint="eastAsia" w:ascii="仿宋" w:hAnsi="仿宋" w:eastAsia="仿宋"/>
          <w:sz w:val="32"/>
          <w:szCs w:val="32"/>
        </w:rPr>
        <w:t>万元，到位资金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2.4</w:t>
      </w:r>
      <w:r>
        <w:rPr>
          <w:rFonts w:hint="eastAsia" w:ascii="仿宋" w:hAnsi="仿宋" w:eastAsia="仿宋"/>
          <w:sz w:val="32"/>
          <w:szCs w:val="32"/>
        </w:rPr>
        <w:t>万元，到位率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sz w:val="32"/>
          <w:szCs w:val="32"/>
        </w:rPr>
        <w:t>%</w:t>
      </w:r>
    </w:p>
    <w:p w14:paraId="227E13A8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70612B7C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《会同党史第二卷》（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val="en-US" w:eastAsia="zh-CN"/>
        </w:rPr>
        <w:t>1978-2012）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编纂项目</w:t>
      </w:r>
      <w:r>
        <w:rPr>
          <w:rFonts w:hint="eastAsia" w:ascii="仿宋" w:hAnsi="仿宋" w:eastAsia="仿宋"/>
          <w:sz w:val="32"/>
          <w:szCs w:val="32"/>
        </w:rPr>
        <w:t>资金</w:t>
      </w:r>
      <w:r>
        <w:rPr>
          <w:rFonts w:hint="eastAsia" w:ascii="仿宋" w:hAnsi="仿宋" w:eastAsia="仿宋"/>
          <w:sz w:val="32"/>
          <w:szCs w:val="32"/>
          <w:lang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使用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1.56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使用本年度预算资金1.56万元。</w:t>
      </w:r>
    </w:p>
    <w:p w14:paraId="3C98EA60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3ADA4E6D">
      <w:pPr>
        <w:pStyle w:val="11"/>
        <w:widowControl w:val="0"/>
        <w:tabs>
          <w:tab w:val="left" w:pos="1040"/>
        </w:tabs>
        <w:spacing w:line="560" w:lineRule="exact"/>
        <w:ind w:left="0" w:leftChars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仿宋" w:hAnsi="仿宋" w:eastAsia="仿宋" w:cs="宋体"/>
          <w:color w:val="333333"/>
          <w:sz w:val="32"/>
          <w:szCs w:val="32"/>
        </w:rPr>
        <w:t>一是</w:t>
      </w:r>
      <w:r>
        <w:rPr>
          <w:rFonts w:hint="eastAsia" w:ascii="仿宋" w:hAnsi="仿宋" w:eastAsia="仿宋"/>
          <w:sz w:val="32"/>
          <w:szCs w:val="32"/>
        </w:rPr>
        <w:t>制定</w:t>
      </w:r>
      <w:r>
        <w:rPr>
          <w:rFonts w:hint="eastAsia" w:ascii="仿宋" w:hAnsi="仿宋" w:eastAsia="仿宋"/>
          <w:sz w:val="32"/>
          <w:szCs w:val="32"/>
          <w:lang w:eastAsia="zh-CN"/>
        </w:rPr>
        <w:t>了</w:t>
      </w:r>
      <w:r>
        <w:rPr>
          <w:rFonts w:hint="eastAsia" w:ascii="仿宋" w:hAnsi="仿宋" w:eastAsia="仿宋"/>
          <w:sz w:val="32"/>
          <w:szCs w:val="32"/>
        </w:rPr>
        <w:t>精细的财务管理制度及相关项目资金管理措施，项目资金实行分项核算</w:t>
      </w:r>
      <w:r>
        <w:rPr>
          <w:rFonts w:hint="eastAsia" w:ascii="仿宋" w:hAnsi="仿宋" w:eastAsia="仿宋"/>
          <w:spacing w:val="-6"/>
          <w:sz w:val="32"/>
          <w:szCs w:val="32"/>
        </w:rPr>
        <w:t>，做到专款专用，无挤占、挪用、串用的现象。二是</w:t>
      </w:r>
      <w:r>
        <w:rPr>
          <w:rFonts w:hint="eastAsia" w:ascii="仿宋" w:hAnsi="仿宋" w:eastAsia="仿宋"/>
          <w:sz w:val="32"/>
          <w:szCs w:val="32"/>
        </w:rPr>
        <w:t>规范项目资金支付程序，</w:t>
      </w:r>
      <w:r>
        <w:rPr>
          <w:rFonts w:hint="eastAsia" w:ascii="仿宋" w:hAnsi="仿宋" w:eastAsia="仿宋"/>
          <w:sz w:val="32"/>
          <w:szCs w:val="32"/>
          <w:lang w:eastAsia="zh-CN"/>
        </w:rPr>
        <w:t>严把项目资金关，</w:t>
      </w:r>
      <w:r>
        <w:rPr>
          <w:rFonts w:hint="eastAsia" w:ascii="仿宋" w:hAnsi="仿宋" w:eastAsia="仿宋"/>
          <w:sz w:val="32"/>
          <w:szCs w:val="32"/>
        </w:rPr>
        <w:t>制定精细的财务管理制度及相关项目资金管理措施</w:t>
      </w:r>
      <w:r>
        <w:rPr>
          <w:rFonts w:hint="eastAsia" w:ascii="仿宋" w:hAnsi="仿宋" w:eastAsia="仿宋"/>
          <w:sz w:val="32"/>
          <w:szCs w:val="32"/>
          <w:lang w:eastAsia="zh-CN"/>
        </w:rPr>
        <w:t>，不定期开展日常检查及监督管理，</w:t>
      </w:r>
      <w:r>
        <w:rPr>
          <w:rFonts w:hint="eastAsia" w:ascii="仿宋" w:hAnsi="仿宋" w:eastAsia="仿宋"/>
          <w:sz w:val="32"/>
          <w:szCs w:val="32"/>
        </w:rPr>
        <w:t>规范项目资金支付程序，对项目资金使用情况进行</w:t>
      </w:r>
      <w:r>
        <w:rPr>
          <w:rFonts w:hint="eastAsia" w:ascii="仿宋" w:hAnsi="仿宋" w:eastAsia="仿宋"/>
          <w:sz w:val="32"/>
          <w:szCs w:val="32"/>
          <w:lang w:eastAsia="zh-CN"/>
        </w:rPr>
        <w:t>公开</w:t>
      </w:r>
      <w:r>
        <w:rPr>
          <w:rFonts w:hint="eastAsia" w:ascii="仿宋" w:hAnsi="仿宋" w:eastAsia="仿宋"/>
          <w:sz w:val="32"/>
          <w:szCs w:val="32"/>
        </w:rPr>
        <w:t>公示。</w:t>
      </w:r>
    </w:p>
    <w:p w14:paraId="670FF80E"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情况</w:t>
      </w:r>
    </w:p>
    <w:p w14:paraId="02AB9C17">
      <w:pPr>
        <w:spacing w:line="580" w:lineRule="exact"/>
        <w:ind w:firstLine="640" w:firstLineChars="200"/>
        <w:outlineLvl w:val="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/>
          <w:sz w:val="32"/>
          <w:szCs w:val="32"/>
        </w:rPr>
        <w:t>一是加强组织领导，成立</w:t>
      </w:r>
      <w:r>
        <w:rPr>
          <w:rFonts w:hint="eastAsia" w:ascii="仿宋" w:hAnsi="仿宋" w:eastAsia="仿宋"/>
          <w:sz w:val="32"/>
          <w:szCs w:val="32"/>
          <w:lang w:eastAsia="zh-CN"/>
        </w:rPr>
        <w:t>《会同党史》</w:t>
      </w:r>
      <w:r>
        <w:rPr>
          <w:rFonts w:hint="eastAsia" w:ascii="仿宋" w:hAnsi="仿宋" w:eastAsia="仿宋"/>
          <w:sz w:val="32"/>
          <w:szCs w:val="32"/>
        </w:rPr>
        <w:t>项目实施领导小组，促进项目顺利实施。二是严格按照省市项目批复、实施方案组织项目实施。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是健全项目质量保证体系，成立项目工程督查和质检小组，对项目实施中的各环节检查验收，严把项目完成后</w:t>
      </w:r>
      <w:r>
        <w:rPr>
          <w:rFonts w:hint="eastAsia" w:ascii="仿宋" w:hAnsi="仿宋" w:eastAsia="仿宋"/>
          <w:sz w:val="32"/>
          <w:szCs w:val="32"/>
          <w:lang w:eastAsia="zh-CN"/>
        </w:rPr>
        <w:t>入库</w:t>
      </w:r>
      <w:r>
        <w:rPr>
          <w:rFonts w:hint="eastAsia" w:ascii="仿宋" w:hAnsi="仿宋" w:eastAsia="仿宋"/>
          <w:sz w:val="32"/>
          <w:szCs w:val="32"/>
        </w:rPr>
        <w:t>关、质量关。</w:t>
      </w:r>
    </w:p>
    <w:p w14:paraId="5B238E6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720BA11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3311CB5A">
      <w:pPr>
        <w:numPr>
          <w:ilvl w:val="0"/>
          <w:numId w:val="0"/>
        </w:numPr>
        <w:ind w:firstLine="64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经过了科学设定，并经过了可性性研究、专家论证、风险评估、集体决策等，制定了预期总目标及阶段性目标，以年为期，逐年编写，连续出版。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完成《会同党史第二卷》资料的收集、整理，符合单位职责，保障史志资料的完整性。</w:t>
      </w:r>
    </w:p>
    <w:p w14:paraId="52A46DF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 w14:paraId="44C3C537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根据单位的职能职责，根据相关性、重要性、可比性、系统性和经济性原则，确定绩效指标的种类，合理设置和准确制定项目绩效指标，确保项目按时、按质、按量完成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45C3C04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3BA0C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2F9CC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为了加强本单位财政支出管理，强化支出责任，建立科学、合理的财政支出绩效评价管理体系，更好地提高财政资金使用效益，进行本单位绩效评价。</w:t>
      </w:r>
    </w:p>
    <w:p w14:paraId="06AFF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 w14:paraId="06B47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评价单位为会同县史志研究室，绩效评价范围是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《会同党史第二卷》（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val="en-US" w:eastAsia="zh-CN"/>
        </w:rPr>
        <w:t>1978-2012）编纂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项目支出，时段是2023年。</w:t>
      </w:r>
    </w:p>
    <w:p w14:paraId="1BE9EA1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 w14:paraId="72E126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绩效评价遵循科学规范、公正公开、分级分类、绩效相关原则，按照共性指标和个性指标，根据计划标准、行业标准和历史标准建立评价指标体系，坚持简便有效原则，</w:t>
      </w:r>
      <w:r>
        <w:rPr>
          <w:rFonts w:hint="eastAsia" w:ascii="仿宋" w:hAnsi="仿宋" w:eastAsia="仿宋" w:cs="仿宋"/>
          <w:sz w:val="32"/>
          <w:szCs w:val="32"/>
        </w:rPr>
        <w:t>采用综合评价法，以定性分析与定量分析相结合，实事求是地全面分析评价项目的绩效情况。通过规范程序，保证了评价依据的充分有效，及时完成了项目绩效评价报告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6BADE56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2076"/>
      <w:bookmarkStart w:id="4" w:name="_Toc7615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主要绩效及评价结论</w:t>
      </w:r>
      <w:bookmarkEnd w:id="3"/>
      <w:bookmarkEnd w:id="4"/>
    </w:p>
    <w:p w14:paraId="3B08AC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3DD08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效果明显，连续记录党各个时期的光辉历程，加强群众对党的认识和宣传教育，发挥存史资政育人作用，</w:t>
      </w:r>
      <w:r>
        <w:rPr>
          <w:rFonts w:hint="eastAsia" w:ascii="仿宋" w:hAnsi="仿宋" w:eastAsia="仿宋" w:cs="宋体"/>
          <w:color w:val="343233"/>
          <w:kern w:val="0"/>
          <w:sz w:val="32"/>
          <w:szCs w:val="32"/>
          <w:lang w:eastAsia="zh-CN"/>
        </w:rPr>
        <w:t>持续增加了地方资料、县域品牌形象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。</w:t>
      </w:r>
    </w:p>
    <w:p w14:paraId="1EA1B8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（二）生态效益</w:t>
      </w:r>
    </w:p>
    <w:p w14:paraId="4E3C92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该项目虽没有产生直接相关的生态效益，但对环境无任何污染，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</w:rPr>
        <w:t>绿色、环保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、无污染，效果不明显，但有一定的生态效益。</w:t>
      </w:r>
    </w:p>
    <w:p w14:paraId="47A23F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2FAF963A">
      <w:pPr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  <w:lang w:eastAsia="zh-CN"/>
        </w:rPr>
        <w:t>会同党史</w:t>
      </w:r>
      <w:r>
        <w:rPr>
          <w:rFonts w:hint="eastAsia"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以史为鉴，达到存史、资政、育人目的，</w:t>
      </w:r>
      <w:r>
        <w:rPr>
          <w:rFonts w:hint="eastAsia" w:ascii="仿宋" w:hAnsi="仿宋" w:eastAsia="仿宋"/>
          <w:sz w:val="32"/>
          <w:szCs w:val="32"/>
          <w:lang w:eastAsia="zh-CN"/>
        </w:rPr>
        <w:t>发挥存史资政育人作用，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为</w:t>
      </w:r>
      <w:r>
        <w:rPr>
          <w:rFonts w:hint="eastAsia" w:ascii="仿宋" w:hAnsi="仿宋" w:eastAsia="仿宋"/>
          <w:sz w:val="32"/>
          <w:szCs w:val="32"/>
        </w:rPr>
        <w:t>各界党政领导科学决策提供依据，为社会各界人士提供免费赠阅、查询服务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对促进全县社会发展起到重要的借鉴和推动作用。</w:t>
      </w:r>
    </w:p>
    <w:p w14:paraId="32299E8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2C525F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宋体"/>
          <w:color w:val="343233"/>
          <w:kern w:val="0"/>
          <w:sz w:val="32"/>
          <w:szCs w:val="32"/>
          <w:lang w:eastAsia="zh-CN"/>
        </w:rPr>
        <w:t>服务对象满意度达到</w:t>
      </w:r>
      <w:r>
        <w:rPr>
          <w:rFonts w:hint="eastAsia" w:ascii="仿宋" w:hAnsi="仿宋" w:eastAsia="仿宋" w:cs="宋体"/>
          <w:color w:val="343233"/>
          <w:kern w:val="0"/>
          <w:sz w:val="32"/>
          <w:szCs w:val="32"/>
          <w:lang w:val="en-US" w:eastAsia="zh-CN"/>
        </w:rPr>
        <w:t>95%以上。</w:t>
      </w:r>
    </w:p>
    <w:p w14:paraId="1AFEBAB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7A9B8C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该项目评价得分87，为良好等级。</w:t>
      </w:r>
    </w:p>
    <w:p w14:paraId="4AC7B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16332"/>
      <w:bookmarkStart w:id="6" w:name="_Toc275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 w14:paraId="48822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 w:themeColor="text1"/>
          <w:spacing w:val="-23"/>
          <w:kern w:val="0"/>
          <w:sz w:val="32"/>
          <w:szCs w:val="32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项目决策情况</w:t>
      </w:r>
      <w:bookmarkEnd w:id="7"/>
    </w:p>
    <w:p w14:paraId="516A7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根据本单位职现职能，为更好地进行的党史征编，更好地组织实施党史业务编纂工作，为社会和经济建设服务，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以史为鉴，达到存史、资政、育人目的，</w:t>
      </w:r>
      <w:bookmarkStart w:id="8" w:name="_Toc28411"/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根据史志的相关编纂要求，结合本县实际，本着科学实用原则进行项目决策。</w:t>
      </w:r>
    </w:p>
    <w:p w14:paraId="2485E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 w14:paraId="60458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9"/>
    </w:p>
    <w:p w14:paraId="2EDB15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2"/>
        <w:rPr>
          <w:rFonts w:hint="eastAsia" w:ascii="仿宋" w:hAnsi="仿宋" w:eastAsia="仿宋"/>
          <w:sz w:val="32"/>
          <w:szCs w:val="32"/>
        </w:rPr>
      </w:pPr>
      <w:bookmarkStart w:id="10" w:name="_Toc1210"/>
      <w:r>
        <w:rPr>
          <w:rFonts w:hint="eastAsia" w:ascii="仿宋" w:hAnsi="仿宋" w:eastAsia="仿宋" w:cs="宋体"/>
          <w:color w:val="333333"/>
          <w:sz w:val="32"/>
          <w:szCs w:val="32"/>
        </w:rPr>
        <w:t>一是</w:t>
      </w:r>
      <w:r>
        <w:rPr>
          <w:rFonts w:hint="eastAsia" w:ascii="仿宋" w:hAnsi="仿宋" w:eastAsia="仿宋"/>
          <w:sz w:val="32"/>
          <w:szCs w:val="32"/>
        </w:rPr>
        <w:t>制定</w:t>
      </w:r>
      <w:r>
        <w:rPr>
          <w:rFonts w:hint="eastAsia" w:ascii="仿宋" w:hAnsi="仿宋" w:eastAsia="仿宋"/>
          <w:sz w:val="32"/>
          <w:szCs w:val="32"/>
          <w:lang w:eastAsia="zh-CN"/>
        </w:rPr>
        <w:t>了</w:t>
      </w:r>
      <w:r>
        <w:rPr>
          <w:rFonts w:hint="eastAsia" w:ascii="仿宋" w:hAnsi="仿宋" w:eastAsia="仿宋"/>
          <w:sz w:val="32"/>
          <w:szCs w:val="32"/>
        </w:rPr>
        <w:t>精细的财务管理制度及相关项目资金管理措施，项目资金实行分项核算</w:t>
      </w:r>
      <w:r>
        <w:rPr>
          <w:rFonts w:hint="eastAsia" w:ascii="仿宋" w:hAnsi="仿宋" w:eastAsia="仿宋"/>
          <w:spacing w:val="-6"/>
          <w:sz w:val="32"/>
          <w:szCs w:val="32"/>
        </w:rPr>
        <w:t>，做到专款专用，无挤占、挪用、串用的现象。二是</w:t>
      </w:r>
      <w:r>
        <w:rPr>
          <w:rFonts w:hint="eastAsia" w:ascii="仿宋" w:hAnsi="仿宋" w:eastAsia="仿宋"/>
          <w:sz w:val="32"/>
          <w:szCs w:val="32"/>
        </w:rPr>
        <w:t>规范项目资金支付程序，</w:t>
      </w:r>
      <w:r>
        <w:rPr>
          <w:rFonts w:hint="eastAsia" w:ascii="仿宋" w:hAnsi="仿宋" w:eastAsia="仿宋"/>
          <w:sz w:val="32"/>
          <w:szCs w:val="32"/>
          <w:lang w:eastAsia="zh-CN"/>
        </w:rPr>
        <w:t>严把项目资金关，</w:t>
      </w:r>
      <w:r>
        <w:rPr>
          <w:rFonts w:hint="eastAsia" w:ascii="仿宋" w:hAnsi="仿宋" w:eastAsia="仿宋"/>
          <w:sz w:val="32"/>
          <w:szCs w:val="32"/>
        </w:rPr>
        <w:t>制定精细的财务管理制度及相关项目资金管理措施</w:t>
      </w:r>
      <w:r>
        <w:rPr>
          <w:rFonts w:hint="eastAsia" w:ascii="仿宋" w:hAnsi="仿宋" w:eastAsia="仿宋"/>
          <w:sz w:val="32"/>
          <w:szCs w:val="32"/>
          <w:lang w:eastAsia="zh-CN"/>
        </w:rPr>
        <w:t>，不定期开展日常检查及监督管理，</w:t>
      </w:r>
      <w:r>
        <w:rPr>
          <w:rFonts w:hint="eastAsia" w:ascii="仿宋" w:hAnsi="仿宋" w:eastAsia="仿宋"/>
          <w:sz w:val="32"/>
          <w:szCs w:val="32"/>
        </w:rPr>
        <w:t>规范项目资金支付程序，对项目资金使用情况进行</w:t>
      </w:r>
      <w:r>
        <w:rPr>
          <w:rFonts w:hint="eastAsia" w:ascii="仿宋" w:hAnsi="仿宋" w:eastAsia="仿宋"/>
          <w:sz w:val="32"/>
          <w:szCs w:val="32"/>
          <w:lang w:eastAsia="zh-CN"/>
        </w:rPr>
        <w:t>公开</w:t>
      </w:r>
      <w:r>
        <w:rPr>
          <w:rFonts w:hint="eastAsia" w:ascii="仿宋" w:hAnsi="仿宋" w:eastAsia="仿宋"/>
          <w:sz w:val="32"/>
          <w:szCs w:val="32"/>
        </w:rPr>
        <w:t>公示。</w:t>
      </w:r>
    </w:p>
    <w:p w14:paraId="06FA53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  <w:bookmarkEnd w:id="10"/>
    </w:p>
    <w:p w14:paraId="408C5C78">
      <w:pPr>
        <w:spacing w:line="580" w:lineRule="exact"/>
        <w:ind w:firstLine="640" w:firstLineChars="200"/>
        <w:outlineLvl w:val="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6604"/>
      <w:r>
        <w:rPr>
          <w:rFonts w:hint="eastAsia" w:ascii="仿宋" w:hAnsi="仿宋" w:eastAsia="仿宋"/>
          <w:sz w:val="32"/>
          <w:szCs w:val="32"/>
        </w:rPr>
        <w:t>一是加强组织领导，成立</w:t>
      </w:r>
      <w:r>
        <w:rPr>
          <w:rFonts w:hint="eastAsia" w:ascii="仿宋" w:hAnsi="仿宋" w:eastAsia="仿宋"/>
          <w:sz w:val="32"/>
          <w:szCs w:val="32"/>
          <w:lang w:eastAsia="zh-CN"/>
        </w:rPr>
        <w:t>《会同党史》</w:t>
      </w:r>
      <w:r>
        <w:rPr>
          <w:rFonts w:hint="eastAsia" w:ascii="仿宋" w:hAnsi="仿宋" w:eastAsia="仿宋"/>
          <w:sz w:val="32"/>
          <w:szCs w:val="32"/>
        </w:rPr>
        <w:t>项目实施领导小组，促进项目顺利实施。二是严格按照省市项目批复、实施方案组织项目实施。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是健全项目质量保证体系，成立项目工程督查和质检小组，对项目实施中的各环节检查验收，严把项目完成后</w:t>
      </w:r>
      <w:r>
        <w:rPr>
          <w:rFonts w:hint="eastAsia" w:ascii="仿宋" w:hAnsi="仿宋" w:eastAsia="仿宋"/>
          <w:sz w:val="32"/>
          <w:szCs w:val="32"/>
          <w:lang w:eastAsia="zh-CN"/>
        </w:rPr>
        <w:t>入库</w:t>
      </w:r>
      <w:r>
        <w:rPr>
          <w:rFonts w:hint="eastAsia" w:ascii="仿宋" w:hAnsi="仿宋" w:eastAsia="仿宋"/>
          <w:sz w:val="32"/>
          <w:szCs w:val="32"/>
        </w:rPr>
        <w:t>关、质量关。</w:t>
      </w:r>
    </w:p>
    <w:p w14:paraId="4162032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1"/>
    </w:p>
    <w:p w14:paraId="0E3616D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2"/>
    </w:p>
    <w:p w14:paraId="5632257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该项目计划在12月底完成前期筹备、资料收集工作，基本完成。</w:t>
      </w:r>
    </w:p>
    <w:p w14:paraId="1A0F56AC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3"/>
    </w:p>
    <w:p w14:paraId="7721C9F6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该项目在编纂过程中注重稿件质量，实行三审三校原则，编纂的书籍基本达到新闻出版局质量标准</w:t>
      </w:r>
      <w:bookmarkStart w:id="14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269CD4A5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4"/>
    </w:p>
    <w:p w14:paraId="6CB4D811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该项目经济成本计划全年编纂经费为2.4万元，实际使用资金1.56万元，计划社会成本节约率为0，实际为0，成本完全控制在年初计划内。</w:t>
      </w:r>
    </w:p>
    <w:p w14:paraId="78C92540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5"/>
    </w:p>
    <w:p w14:paraId="32E0F655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该项目计划在12月底全部完成，前期筹备工作基本完成。</w:t>
      </w:r>
      <w:bookmarkStart w:id="16" w:name="_Toc3072"/>
      <w:bookmarkStart w:id="17" w:name="_Toc12690"/>
    </w:p>
    <w:p w14:paraId="0673908B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2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（四）项目效益情况</w:t>
      </w:r>
      <w:bookmarkEnd w:id="16"/>
      <w:bookmarkEnd w:id="17"/>
    </w:p>
    <w:p w14:paraId="17D88B50">
      <w:pPr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</w:rPr>
      </w:pPr>
      <w:bookmarkStart w:id="18" w:name="_Toc390267055"/>
      <w:bookmarkStart w:id="19" w:name="_Toc390096931"/>
      <w:bookmarkStart w:id="20" w:name="_Toc12414"/>
      <w:bookmarkStart w:id="21" w:name="_Toc24241"/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  <w:lang w:eastAsia="zh-CN"/>
        </w:rPr>
        <w:t>会同党史</w:t>
      </w:r>
      <w:r>
        <w:rPr>
          <w:rFonts w:hint="eastAsia"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记录</w:t>
      </w:r>
      <w:r>
        <w:rPr>
          <w:rFonts w:hint="eastAsia" w:ascii="仿宋" w:hAnsi="仿宋" w:eastAsia="仿宋"/>
          <w:sz w:val="32"/>
          <w:szCs w:val="32"/>
          <w:lang w:eastAsia="zh-CN"/>
        </w:rPr>
        <w:t>县党组织</w:t>
      </w:r>
      <w:r>
        <w:rPr>
          <w:rFonts w:hint="eastAsia" w:ascii="仿宋" w:hAnsi="仿宋" w:eastAsia="仿宋"/>
          <w:sz w:val="32"/>
          <w:szCs w:val="32"/>
        </w:rPr>
        <w:t>1978--2012</w:t>
      </w:r>
      <w:r>
        <w:rPr>
          <w:rFonts w:hint="eastAsia" w:ascii="仿宋" w:hAnsi="仿宋" w:eastAsia="仿宋"/>
          <w:sz w:val="32"/>
          <w:szCs w:val="32"/>
          <w:lang w:eastAsia="zh-CN"/>
        </w:rPr>
        <w:t>年期间各个历史时期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hint="eastAsia" w:ascii="仿宋" w:hAnsi="仿宋" w:eastAsia="仿宋"/>
          <w:sz w:val="32"/>
          <w:szCs w:val="32"/>
          <w:lang w:eastAsia="zh-CN"/>
        </w:rPr>
        <w:t>史料</w:t>
      </w:r>
      <w:r>
        <w:rPr>
          <w:rFonts w:hint="eastAsia" w:ascii="仿宋" w:hAnsi="仿宋" w:eastAsia="仿宋"/>
          <w:sz w:val="32"/>
          <w:szCs w:val="32"/>
        </w:rPr>
        <w:t>信息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宣传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县党组织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历史发展变革及重大事件，以及各个时期取得了辉煌成就，</w:t>
      </w:r>
      <w:r>
        <w:rPr>
          <w:rFonts w:hint="eastAsia" w:ascii="仿宋" w:hAnsi="仿宋" w:eastAsia="仿宋"/>
          <w:sz w:val="32"/>
          <w:szCs w:val="32"/>
          <w:lang w:eastAsia="zh-CN"/>
        </w:rPr>
        <w:t>发挥存史资政育人作用，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为</w:t>
      </w:r>
      <w:r>
        <w:rPr>
          <w:rFonts w:hint="eastAsia" w:ascii="仿宋" w:hAnsi="仿宋" w:eastAsia="仿宋"/>
          <w:sz w:val="32"/>
          <w:szCs w:val="32"/>
        </w:rPr>
        <w:t>各界党政领导科学决策提供依据，为社会各界人士提供免费赠阅、查询服务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 w14:paraId="62675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0"/>
      <w:bookmarkEnd w:id="21"/>
    </w:p>
    <w:p w14:paraId="3B5AB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3"/>
    </w:p>
    <w:p w14:paraId="76B2D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一是加强资金的管理，</w:t>
      </w:r>
      <w:r>
        <w:rPr>
          <w:rFonts w:hint="eastAsia" w:ascii="仿宋" w:hAnsi="仿宋" w:eastAsia="仿宋"/>
          <w:sz w:val="32"/>
          <w:szCs w:val="32"/>
        </w:rPr>
        <w:t>定</w:t>
      </w:r>
      <w:r>
        <w:rPr>
          <w:rFonts w:hint="eastAsia" w:ascii="仿宋" w:hAnsi="仿宋" w:eastAsia="仿宋"/>
          <w:sz w:val="32"/>
          <w:szCs w:val="32"/>
          <w:lang w:eastAsia="zh-CN"/>
        </w:rPr>
        <w:t>了</w:t>
      </w:r>
      <w:r>
        <w:rPr>
          <w:rFonts w:hint="eastAsia" w:ascii="仿宋" w:hAnsi="仿宋" w:eastAsia="仿宋"/>
          <w:sz w:val="32"/>
          <w:szCs w:val="32"/>
        </w:rPr>
        <w:t>精细的财务管理制度及相关项目资金管理措施，</w:t>
      </w:r>
      <w:r>
        <w:rPr>
          <w:rFonts w:hint="eastAsia" w:ascii="仿宋" w:hAnsi="仿宋" w:eastAsia="仿宋"/>
          <w:sz w:val="32"/>
          <w:szCs w:val="32"/>
          <w:lang w:eastAsia="zh-CN"/>
        </w:rPr>
        <w:t>做到专款专用，</w:t>
      </w:r>
      <w:r>
        <w:rPr>
          <w:rFonts w:hint="eastAsia" w:ascii="仿宋" w:hAnsi="仿宋" w:eastAsia="仿宋"/>
          <w:sz w:val="32"/>
          <w:szCs w:val="32"/>
        </w:rPr>
        <w:t>规范项目资金支付程序，</w:t>
      </w:r>
      <w:r>
        <w:rPr>
          <w:rFonts w:hint="eastAsia" w:ascii="仿宋" w:hAnsi="仿宋" w:eastAsia="仿宋"/>
          <w:sz w:val="32"/>
          <w:szCs w:val="32"/>
          <w:lang w:eastAsia="zh-CN"/>
        </w:rPr>
        <w:t>严把项目资金关。二是在项目实施过程中，</w:t>
      </w:r>
      <w:r>
        <w:rPr>
          <w:rFonts w:hint="eastAsia" w:ascii="仿宋" w:hAnsi="仿宋" w:eastAsia="仿宋"/>
          <w:sz w:val="32"/>
          <w:szCs w:val="32"/>
        </w:rPr>
        <w:t>加强组织领导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严格按照项目批复、实施方案组织项目实施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健全项目质量保证体系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严格按照省市县关于党史工作编纂的要求，按时保质保量地完成下年度党史工作。</w:t>
      </w:r>
    </w:p>
    <w:p w14:paraId="50D0E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4" w:name="_Toc6772"/>
      <w:bookmarkStart w:id="25" w:name="_Toc259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4"/>
      <w:bookmarkEnd w:id="25"/>
    </w:p>
    <w:p w14:paraId="3201F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" w:hAnsi="仿宋" w:eastAsia="仿宋"/>
          <w:sz w:val="32"/>
          <w:szCs w:val="32"/>
          <w:lang w:eastAsia="zh-CN"/>
        </w:rPr>
      </w:pPr>
      <w:bookmarkStart w:id="26" w:name="_Toc16271"/>
      <w:bookmarkStart w:id="27" w:name="_Toc29278"/>
      <w:r>
        <w:rPr>
          <w:rFonts w:hint="eastAsia" w:ascii="仿宋_GB2312" w:eastAsia="仿宋_GB2312"/>
          <w:sz w:val="32"/>
          <w:szCs w:val="32"/>
          <w:lang w:val="en-US" w:eastAsia="zh-CN"/>
        </w:rPr>
        <w:t>自项目申报至今，该项目</w:t>
      </w:r>
      <w:r>
        <w:rPr>
          <w:rFonts w:hint="eastAsia" w:ascii="仿宋" w:hAnsi="仿宋" w:eastAsia="仿宋"/>
          <w:sz w:val="32"/>
          <w:szCs w:val="32"/>
          <w:lang w:eastAsia="zh-CN"/>
        </w:rPr>
        <w:t>2023</w:t>
      </w:r>
      <w:r>
        <w:rPr>
          <w:rFonts w:hint="eastAsia" w:ascii="仿宋" w:hAnsi="仿宋" w:eastAsia="仿宋"/>
          <w:sz w:val="32"/>
          <w:szCs w:val="32"/>
        </w:rPr>
        <w:t>年底</w:t>
      </w:r>
      <w:r>
        <w:rPr>
          <w:rFonts w:hint="eastAsia" w:ascii="仿宋" w:hAnsi="仿宋" w:eastAsia="仿宋"/>
          <w:sz w:val="32"/>
          <w:szCs w:val="32"/>
          <w:lang w:eastAsia="zh-CN"/>
        </w:rPr>
        <w:t>基本上只完成了前期工作，没有系统全面进行党史的编纂工作，主要原因是经费太少，人员太少，人力、物力和财力无法满足该</w:t>
      </w:r>
      <w:r>
        <w:rPr>
          <w:rFonts w:hint="eastAsia" w:ascii="仿宋" w:hAnsi="仿宋" w:eastAsia="仿宋"/>
          <w:sz w:val="32"/>
          <w:szCs w:val="32"/>
        </w:rPr>
        <w:t>项目的正常实施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 w14:paraId="6425D1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6"/>
      <w:bookmarkEnd w:id="27"/>
    </w:p>
    <w:p w14:paraId="640C17CD"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  <w:lang w:eastAsia="zh-CN"/>
        </w:rPr>
        <w:t>会同党史第二卷</w:t>
      </w:r>
      <w:r>
        <w:rPr>
          <w:rFonts w:hint="eastAsia"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1978—2012）时间</w:t>
      </w:r>
      <w:r>
        <w:rPr>
          <w:rFonts w:hint="eastAsia" w:ascii="仿宋" w:hAnsi="仿宋" w:eastAsia="仿宋"/>
          <w:sz w:val="32"/>
          <w:szCs w:val="32"/>
        </w:rPr>
        <w:t>跨度长，牵涉面广，任务量大、要求精细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因项目预算基数小，经费非常困难，</w:t>
      </w:r>
      <w:r>
        <w:rPr>
          <w:rFonts w:hint="eastAsia" w:ascii="仿宋" w:hAnsi="仿宋" w:eastAsia="仿宋"/>
          <w:sz w:val="32"/>
          <w:szCs w:val="32"/>
          <w:lang w:eastAsia="zh-CN"/>
        </w:rPr>
        <w:t>加上本单位人手少，无法系统全面进行党史的编纂工作，建议下年度继续保留该项目，并加大人力、物力和财务的投入，</w:t>
      </w:r>
      <w:r>
        <w:rPr>
          <w:rFonts w:hint="eastAsia" w:ascii="仿宋" w:hAnsi="仿宋" w:eastAsia="仿宋"/>
          <w:sz w:val="32"/>
          <w:szCs w:val="32"/>
        </w:rPr>
        <w:t>确保</w:t>
      </w:r>
      <w:r>
        <w:rPr>
          <w:rFonts w:hint="eastAsia" w:ascii="仿宋" w:hAnsi="仿宋" w:eastAsia="仿宋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sz w:val="32"/>
          <w:szCs w:val="32"/>
        </w:rPr>
        <w:t>项目的</w:t>
      </w:r>
      <w:r>
        <w:rPr>
          <w:rFonts w:hint="eastAsia" w:ascii="仿宋" w:hAnsi="仿宋" w:eastAsia="仿宋"/>
          <w:sz w:val="32"/>
          <w:szCs w:val="32"/>
          <w:lang w:eastAsia="zh-CN"/>
        </w:rPr>
        <w:t>得以</w:t>
      </w:r>
      <w:r>
        <w:rPr>
          <w:rFonts w:hint="eastAsia" w:ascii="仿宋" w:hAnsi="仿宋" w:eastAsia="仿宋"/>
          <w:sz w:val="32"/>
          <w:szCs w:val="32"/>
        </w:rPr>
        <w:t>正常实施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 w14:paraId="4A4CC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 w14:paraId="31A2495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 w14:paraId="627A4F8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 w14:paraId="49FFF3E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 w14:paraId="68A080C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 w14:paraId="128D503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 w14:paraId="39E10D5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附件：</w:t>
      </w:r>
    </w:p>
    <w:p w14:paraId="0A253A3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项目支出绩效自评表</w:t>
      </w:r>
    </w:p>
    <w:p w14:paraId="682F77D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669E062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5B566F4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680AA34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55B7461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jc w:val="righ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会同县史志研究室</w:t>
      </w:r>
    </w:p>
    <w:p w14:paraId="0568DAE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jc w:val="right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2024年8月26日</w:t>
      </w:r>
    </w:p>
    <w:p w14:paraId="321AFDC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jc w:val="right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6BE7364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4726179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1550814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2D949B5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  <w:bookmarkStart w:id="28" w:name="_GoBack"/>
      <w:bookmarkEnd w:id="28"/>
    </w:p>
    <w:p w14:paraId="0B51867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2C8285DB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9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966"/>
        <w:gridCol w:w="1325"/>
      </w:tblGrid>
      <w:tr w14:paraId="6D603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080" w:type="dxa"/>
            <w:noWrap w:val="0"/>
            <w:vAlign w:val="center"/>
          </w:tcPr>
          <w:p w14:paraId="6A6B5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341EC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7D3C6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《会同党史第二卷》（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1978-2012）编纂项目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91A3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080" w:type="dxa"/>
            <w:noWrap w:val="0"/>
            <w:vAlign w:val="center"/>
          </w:tcPr>
          <w:p w14:paraId="2E9076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5C540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会同县委办</w:t>
            </w:r>
          </w:p>
        </w:tc>
        <w:tc>
          <w:tcPr>
            <w:tcW w:w="1134" w:type="dxa"/>
            <w:noWrap w:val="0"/>
            <w:vAlign w:val="center"/>
          </w:tcPr>
          <w:p w14:paraId="547400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04A35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会同县史志研究室</w:t>
            </w:r>
          </w:p>
        </w:tc>
      </w:tr>
      <w:tr w14:paraId="7494F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D4BB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32348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7E393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5DE83D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6E6017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70B2C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4686E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1DD1D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782D3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966" w:type="dxa"/>
            <w:noWrap w:val="0"/>
            <w:vAlign w:val="center"/>
          </w:tcPr>
          <w:p w14:paraId="456695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325" w:type="dxa"/>
            <w:noWrap w:val="0"/>
            <w:vAlign w:val="center"/>
          </w:tcPr>
          <w:p w14:paraId="26AF8D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7299B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90DA8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0AFD1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73BF3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2.4</w:t>
            </w:r>
          </w:p>
        </w:tc>
        <w:tc>
          <w:tcPr>
            <w:tcW w:w="1209" w:type="dxa"/>
            <w:noWrap w:val="0"/>
            <w:vAlign w:val="center"/>
          </w:tcPr>
          <w:p w14:paraId="4188E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2.4</w:t>
            </w:r>
          </w:p>
        </w:tc>
        <w:tc>
          <w:tcPr>
            <w:tcW w:w="1134" w:type="dxa"/>
            <w:noWrap w:val="0"/>
            <w:vAlign w:val="center"/>
          </w:tcPr>
          <w:p w14:paraId="50E46C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1.56</w:t>
            </w:r>
          </w:p>
        </w:tc>
        <w:tc>
          <w:tcPr>
            <w:tcW w:w="828" w:type="dxa"/>
            <w:noWrap w:val="0"/>
            <w:vAlign w:val="center"/>
          </w:tcPr>
          <w:p w14:paraId="288A7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46B30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65%</w:t>
            </w:r>
          </w:p>
        </w:tc>
        <w:tc>
          <w:tcPr>
            <w:tcW w:w="1325" w:type="dxa"/>
            <w:noWrap w:val="0"/>
            <w:vAlign w:val="center"/>
          </w:tcPr>
          <w:p w14:paraId="3932B8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 w14:paraId="28B58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07F87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F2DD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1455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2.4</w:t>
            </w:r>
          </w:p>
        </w:tc>
        <w:tc>
          <w:tcPr>
            <w:tcW w:w="1209" w:type="dxa"/>
            <w:noWrap w:val="0"/>
            <w:vAlign w:val="center"/>
          </w:tcPr>
          <w:p w14:paraId="7D106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2.4</w:t>
            </w:r>
          </w:p>
        </w:tc>
        <w:tc>
          <w:tcPr>
            <w:tcW w:w="1134" w:type="dxa"/>
            <w:noWrap w:val="0"/>
            <w:vAlign w:val="center"/>
          </w:tcPr>
          <w:p w14:paraId="0928B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1.56</w:t>
            </w:r>
          </w:p>
        </w:tc>
        <w:tc>
          <w:tcPr>
            <w:tcW w:w="828" w:type="dxa"/>
            <w:noWrap w:val="0"/>
            <w:vAlign w:val="center"/>
          </w:tcPr>
          <w:p w14:paraId="7219F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noWrap w:val="0"/>
            <w:vAlign w:val="center"/>
          </w:tcPr>
          <w:p w14:paraId="5D38B5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5" w:type="dxa"/>
            <w:noWrap w:val="0"/>
            <w:vAlign w:val="center"/>
          </w:tcPr>
          <w:p w14:paraId="585A3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38E20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796CB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16EE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2163D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70983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5533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58B77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66" w:type="dxa"/>
            <w:noWrap w:val="0"/>
            <w:vAlign w:val="center"/>
          </w:tcPr>
          <w:p w14:paraId="0742B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25" w:type="dxa"/>
            <w:noWrap w:val="0"/>
            <w:vAlign w:val="center"/>
          </w:tcPr>
          <w:p w14:paraId="33E08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D468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19763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5394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62B3F3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250EC1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179F0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ABE2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66" w:type="dxa"/>
            <w:noWrap w:val="0"/>
            <w:vAlign w:val="center"/>
          </w:tcPr>
          <w:p w14:paraId="1A01E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25" w:type="dxa"/>
            <w:noWrap w:val="0"/>
            <w:vAlign w:val="center"/>
          </w:tcPr>
          <w:p w14:paraId="0E181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CC7E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36C2F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753B8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08068F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50FC1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9321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2EECFC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以年为期，逐年编写，连续出版。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27024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以年为期，逐年编写，连续出版。</w:t>
            </w:r>
          </w:p>
        </w:tc>
      </w:tr>
      <w:tr w14:paraId="20FA2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38DF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2FDB8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1EFCD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64B041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1FEDE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2DC30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25C7B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2980B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106F9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30FD9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02CC8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2EAEA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66" w:type="dxa"/>
            <w:noWrap w:val="0"/>
            <w:vAlign w:val="center"/>
          </w:tcPr>
          <w:p w14:paraId="220B57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325" w:type="dxa"/>
            <w:noWrap w:val="0"/>
            <w:vAlign w:val="center"/>
          </w:tcPr>
          <w:p w14:paraId="7E6464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1A354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135BDD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5C434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9BFB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42628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6F3858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5ECD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63623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实际工作完成率</w:t>
            </w:r>
          </w:p>
        </w:tc>
        <w:tc>
          <w:tcPr>
            <w:tcW w:w="1209" w:type="dxa"/>
            <w:noWrap w:val="0"/>
            <w:vAlign w:val="center"/>
          </w:tcPr>
          <w:p w14:paraId="62A19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107F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28" w:type="dxa"/>
            <w:noWrap w:val="0"/>
            <w:vAlign w:val="center"/>
          </w:tcPr>
          <w:p w14:paraId="3F19F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2B5C10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25" w:type="dxa"/>
            <w:noWrap w:val="0"/>
            <w:vAlign w:val="center"/>
          </w:tcPr>
          <w:p w14:paraId="31BA34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8"/>
                <w:szCs w:val="18"/>
                <w:lang w:val="en-US" w:eastAsia="zh-CN"/>
              </w:rPr>
              <w:t>单位主要负责人请病假半年后于5月不治身亡，单位人事变动频繁，单位人手少</w:t>
            </w:r>
          </w:p>
        </w:tc>
      </w:tr>
      <w:tr w14:paraId="62D53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F6ED3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8A74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60D0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499C6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编辑正确率</w:t>
            </w:r>
          </w:p>
        </w:tc>
        <w:tc>
          <w:tcPr>
            <w:tcW w:w="1209" w:type="dxa"/>
            <w:noWrap w:val="0"/>
            <w:vAlign w:val="center"/>
          </w:tcPr>
          <w:p w14:paraId="391A6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4AC5F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28" w:type="dxa"/>
            <w:noWrap w:val="0"/>
            <w:vAlign w:val="center"/>
          </w:tcPr>
          <w:p w14:paraId="2504C3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9F42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25" w:type="dxa"/>
            <w:noWrap w:val="0"/>
            <w:vAlign w:val="center"/>
          </w:tcPr>
          <w:p w14:paraId="54360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E26C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1389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F7AA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74E60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5D99F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209" w:type="dxa"/>
            <w:noWrap w:val="0"/>
            <w:vAlign w:val="center"/>
          </w:tcPr>
          <w:p w14:paraId="5F9B6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0178F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828" w:type="dxa"/>
            <w:noWrap w:val="0"/>
            <w:vAlign w:val="center"/>
          </w:tcPr>
          <w:p w14:paraId="7B79D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751390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25" w:type="dxa"/>
            <w:noWrap w:val="0"/>
            <w:vAlign w:val="center"/>
          </w:tcPr>
          <w:p w14:paraId="08B88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项目没有按时完成</w:t>
            </w:r>
          </w:p>
        </w:tc>
      </w:tr>
      <w:tr w14:paraId="5AA1F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BC8E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2B3B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2E0A1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126EBB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1209" w:type="dxa"/>
            <w:noWrap w:val="0"/>
            <w:vAlign w:val="center"/>
          </w:tcPr>
          <w:p w14:paraId="78836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2.4</w:t>
            </w:r>
          </w:p>
        </w:tc>
        <w:tc>
          <w:tcPr>
            <w:tcW w:w="1134" w:type="dxa"/>
            <w:noWrap w:val="0"/>
            <w:vAlign w:val="center"/>
          </w:tcPr>
          <w:p w14:paraId="0D3DE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1.56</w:t>
            </w:r>
          </w:p>
        </w:tc>
        <w:tc>
          <w:tcPr>
            <w:tcW w:w="828" w:type="dxa"/>
            <w:noWrap w:val="0"/>
            <w:vAlign w:val="center"/>
          </w:tcPr>
          <w:p w14:paraId="15F15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331C83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25" w:type="dxa"/>
            <w:noWrap w:val="0"/>
            <w:vAlign w:val="center"/>
          </w:tcPr>
          <w:p w14:paraId="60587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24BF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6691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7AF49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490F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6798B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社会成本指标</w:t>
            </w:r>
          </w:p>
        </w:tc>
        <w:tc>
          <w:tcPr>
            <w:tcW w:w="1209" w:type="dxa"/>
            <w:noWrap w:val="0"/>
            <w:vAlign w:val="center"/>
          </w:tcPr>
          <w:p w14:paraId="3938A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34" w:type="dxa"/>
            <w:noWrap w:val="0"/>
            <w:vAlign w:val="center"/>
          </w:tcPr>
          <w:p w14:paraId="65D62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28" w:type="dxa"/>
            <w:noWrap w:val="0"/>
            <w:vAlign w:val="center"/>
          </w:tcPr>
          <w:p w14:paraId="5B1A4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468C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25" w:type="dxa"/>
            <w:noWrap w:val="0"/>
            <w:vAlign w:val="center"/>
          </w:tcPr>
          <w:p w14:paraId="27620C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5A9E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A1284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D290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2F9D2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0C370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生态环境成本指标</w:t>
            </w:r>
          </w:p>
        </w:tc>
        <w:tc>
          <w:tcPr>
            <w:tcW w:w="1209" w:type="dxa"/>
            <w:noWrap w:val="0"/>
            <w:vAlign w:val="center"/>
          </w:tcPr>
          <w:p w14:paraId="237A3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34" w:type="dxa"/>
            <w:noWrap w:val="0"/>
            <w:vAlign w:val="center"/>
          </w:tcPr>
          <w:p w14:paraId="0FDC4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28" w:type="dxa"/>
            <w:noWrap w:val="0"/>
            <w:vAlign w:val="center"/>
          </w:tcPr>
          <w:p w14:paraId="69FBE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0B41D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25" w:type="dxa"/>
            <w:noWrap w:val="0"/>
            <w:vAlign w:val="center"/>
          </w:tcPr>
          <w:p w14:paraId="208B0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6084C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3B7C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1A8A6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0C4C1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31B1FD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7D74DF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6CF82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经济效益情况</w:t>
            </w:r>
          </w:p>
        </w:tc>
        <w:tc>
          <w:tcPr>
            <w:tcW w:w="1209" w:type="dxa"/>
            <w:noWrap w:val="0"/>
            <w:vAlign w:val="center"/>
          </w:tcPr>
          <w:p w14:paraId="60F774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52DA1B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27B6F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7883A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25" w:type="dxa"/>
            <w:noWrap w:val="0"/>
            <w:vAlign w:val="center"/>
          </w:tcPr>
          <w:p w14:paraId="3004E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5990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269A7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CD25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BF26A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22E26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12E727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社会效益情况</w:t>
            </w:r>
          </w:p>
        </w:tc>
        <w:tc>
          <w:tcPr>
            <w:tcW w:w="1209" w:type="dxa"/>
            <w:noWrap w:val="0"/>
            <w:vAlign w:val="center"/>
          </w:tcPr>
          <w:p w14:paraId="2FF27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01866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72B9C5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1A3A9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25" w:type="dxa"/>
            <w:noWrap w:val="0"/>
            <w:vAlign w:val="center"/>
          </w:tcPr>
          <w:p w14:paraId="18726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EDF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5144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308E6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C39D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6F9A0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DF42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生态效益情况</w:t>
            </w:r>
          </w:p>
        </w:tc>
        <w:tc>
          <w:tcPr>
            <w:tcW w:w="1209" w:type="dxa"/>
            <w:noWrap w:val="0"/>
            <w:vAlign w:val="center"/>
          </w:tcPr>
          <w:p w14:paraId="685D2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42755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一般</w:t>
            </w:r>
          </w:p>
        </w:tc>
        <w:tc>
          <w:tcPr>
            <w:tcW w:w="828" w:type="dxa"/>
            <w:noWrap w:val="0"/>
            <w:vAlign w:val="center"/>
          </w:tcPr>
          <w:p w14:paraId="788DF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748FC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25" w:type="dxa"/>
            <w:noWrap w:val="0"/>
            <w:vAlign w:val="center"/>
          </w:tcPr>
          <w:p w14:paraId="50DB4B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部门履职与生态环境没有太多的相关性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0E74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1625E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3E834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491B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55178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可持续影响情况</w:t>
            </w:r>
          </w:p>
        </w:tc>
        <w:tc>
          <w:tcPr>
            <w:tcW w:w="1209" w:type="dxa"/>
            <w:noWrap w:val="0"/>
            <w:vAlign w:val="center"/>
          </w:tcPr>
          <w:p w14:paraId="29AB1D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3EB90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6A18F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050FD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25" w:type="dxa"/>
            <w:noWrap w:val="0"/>
            <w:vAlign w:val="center"/>
          </w:tcPr>
          <w:p w14:paraId="364FD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E671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4013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9AFC7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2064B6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09D94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00D683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70B25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上级业务部门及各级领导满意度</w:t>
            </w:r>
          </w:p>
        </w:tc>
        <w:tc>
          <w:tcPr>
            <w:tcW w:w="1209" w:type="dxa"/>
            <w:noWrap w:val="0"/>
            <w:vAlign w:val="center"/>
          </w:tcPr>
          <w:p w14:paraId="0086C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134" w:type="dxa"/>
            <w:noWrap w:val="0"/>
            <w:vAlign w:val="center"/>
          </w:tcPr>
          <w:p w14:paraId="007EE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828" w:type="dxa"/>
            <w:noWrap w:val="0"/>
            <w:vAlign w:val="center"/>
          </w:tcPr>
          <w:p w14:paraId="2D4E9B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02F7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25" w:type="dxa"/>
            <w:noWrap w:val="0"/>
            <w:vAlign w:val="center"/>
          </w:tcPr>
          <w:p w14:paraId="2EEEB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7CE99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72478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181FE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966" w:type="dxa"/>
            <w:noWrap w:val="0"/>
            <w:vAlign w:val="center"/>
          </w:tcPr>
          <w:p w14:paraId="5F663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87</w:t>
            </w:r>
          </w:p>
        </w:tc>
        <w:tc>
          <w:tcPr>
            <w:tcW w:w="1325" w:type="dxa"/>
            <w:noWrap w:val="0"/>
            <w:vAlign w:val="center"/>
          </w:tcPr>
          <w:p w14:paraId="6C0725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</w:tbl>
    <w:p w14:paraId="58FDE6AC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color w:val="000000"/>
          <w:kern w:val="0"/>
          <w:sz w:val="20"/>
          <w:szCs w:val="20"/>
          <w:lang w:val="en-US"/>
        </w:rPr>
        <w:sectPr>
          <w:headerReference r:id="rId3" w:type="default"/>
          <w:footerReference r:id="rId4" w:type="default"/>
          <w:pgSz w:w="11906" w:h="16838"/>
          <w:pgMar w:top="2041" w:right="1531" w:bottom="1757" w:left="1531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张秦萁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2024.8.26 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137875073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92</w:t>
      </w:r>
    </w:p>
    <w:p w14:paraId="52C575E8">
      <w:pPr>
        <w:rPr>
          <w:vanish/>
          <w:sz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E7B2D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7C622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4D8AB1"/>
    <w:multiLevelType w:val="singleLevel"/>
    <w:tmpl w:val="DA4D8AB1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D1B29C3"/>
    <w:multiLevelType w:val="singleLevel"/>
    <w:tmpl w:val="3D1B29C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5B1F5BC"/>
    <w:multiLevelType w:val="singleLevel"/>
    <w:tmpl w:val="45B1F5BC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664DD2CC"/>
    <w:multiLevelType w:val="singleLevel"/>
    <w:tmpl w:val="664DD2C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1ODYwMGMyMDc1ZDY5MDc1NDU3ZDVjYTU4MTllZTIifQ=="/>
  </w:docVars>
  <w:rsids>
    <w:rsidRoot w:val="16D0010A"/>
    <w:rsid w:val="020E02AA"/>
    <w:rsid w:val="062F2A1F"/>
    <w:rsid w:val="0A7E3295"/>
    <w:rsid w:val="0B594BB5"/>
    <w:rsid w:val="0E8E1971"/>
    <w:rsid w:val="0FEC2BEE"/>
    <w:rsid w:val="1063251C"/>
    <w:rsid w:val="11185122"/>
    <w:rsid w:val="142B5C86"/>
    <w:rsid w:val="14522123"/>
    <w:rsid w:val="156E5FE9"/>
    <w:rsid w:val="16D0010A"/>
    <w:rsid w:val="174B6BEB"/>
    <w:rsid w:val="19742EFF"/>
    <w:rsid w:val="198852C9"/>
    <w:rsid w:val="19E70D22"/>
    <w:rsid w:val="19E74013"/>
    <w:rsid w:val="1A040DA4"/>
    <w:rsid w:val="20474C5B"/>
    <w:rsid w:val="22724B1A"/>
    <w:rsid w:val="23452FA8"/>
    <w:rsid w:val="24A86DA8"/>
    <w:rsid w:val="254B4CDF"/>
    <w:rsid w:val="2A0F50C9"/>
    <w:rsid w:val="2A2E406B"/>
    <w:rsid w:val="2AE20166"/>
    <w:rsid w:val="2B661383"/>
    <w:rsid w:val="32BF68D3"/>
    <w:rsid w:val="372C6501"/>
    <w:rsid w:val="37B926FB"/>
    <w:rsid w:val="3862159D"/>
    <w:rsid w:val="3A6839E8"/>
    <w:rsid w:val="3E0440EB"/>
    <w:rsid w:val="40C524CC"/>
    <w:rsid w:val="41C81EFA"/>
    <w:rsid w:val="436F0B86"/>
    <w:rsid w:val="438A0837"/>
    <w:rsid w:val="43D53A75"/>
    <w:rsid w:val="44733D16"/>
    <w:rsid w:val="4ACA581B"/>
    <w:rsid w:val="4EDC5E06"/>
    <w:rsid w:val="500304CC"/>
    <w:rsid w:val="53681D99"/>
    <w:rsid w:val="549A3F89"/>
    <w:rsid w:val="558452A2"/>
    <w:rsid w:val="5B9E3721"/>
    <w:rsid w:val="5BBA46B0"/>
    <w:rsid w:val="5C3F55E3"/>
    <w:rsid w:val="606C1599"/>
    <w:rsid w:val="653E0A34"/>
    <w:rsid w:val="66682E14"/>
    <w:rsid w:val="66C36496"/>
    <w:rsid w:val="696E1B52"/>
    <w:rsid w:val="6ACE6451"/>
    <w:rsid w:val="6B5719CE"/>
    <w:rsid w:val="6C7F433E"/>
    <w:rsid w:val="6F540AA2"/>
    <w:rsid w:val="6F6C3363"/>
    <w:rsid w:val="6FA23D7D"/>
    <w:rsid w:val="6FF944CB"/>
    <w:rsid w:val="701777D0"/>
    <w:rsid w:val="701E2184"/>
    <w:rsid w:val="732172ED"/>
    <w:rsid w:val="78C64F77"/>
    <w:rsid w:val="7A4F7B0A"/>
    <w:rsid w:val="7FFF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"/>
    <w:basedOn w:val="2"/>
    <w:qFormat/>
    <w:uiPriority w:val="0"/>
    <w:pPr>
      <w:ind w:firstLine="664"/>
    </w:pPr>
    <w:rPr>
      <w:rFonts w:ascii="Calibri" w:hAnsi="Calibri"/>
    </w:rPr>
  </w:style>
  <w:style w:type="paragraph" w:styleId="8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  <w:style w:type="paragraph" w:customStyle="1" w:styleId="11">
    <w:name w:val="p0"/>
    <w:basedOn w:val="1"/>
    <w:qFormat/>
    <w:uiPriority w:val="0"/>
    <w:pPr>
      <w:widowControl/>
      <w:spacing w:line="365" w:lineRule="atLeast"/>
      <w:ind w:left="1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3282</Words>
  <Characters>3472</Characters>
  <Lines>0</Lines>
  <Paragraphs>0</Paragraphs>
  <TotalTime>9</TotalTime>
  <ScaleCrop>false</ScaleCrop>
  <LinksUpToDate>false</LinksUpToDate>
  <CharactersWithSpaces>3524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2024-09-05T07:18:00Z</dcterms:created>
  <dc:creator>张秦萁</dc:creator>
  <cp:lastModifiedBy>张秦萁</cp:lastModifiedBy>
  <cp:lastPrinted>2024-09-06T01:08:00Z</cp:lastPrinted>
  <dcterms:modified xsi:type="dcterms:W3CDTF">2024-09-09T02:47:07Z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D2F551731D0B4450B92B4B863924B495_11</vt:lpwstr>
  </property>
</Properties>
</file>