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4D83AAD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 w14:paraId="4FC09EE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eastAsia="zh-CN"/>
        </w:rPr>
        <w:t>《会同年鉴》（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val="en-US" w:eastAsia="zh-CN"/>
        </w:rPr>
        <w:t>2023卷）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</w:t>
      </w:r>
    </w:p>
    <w:p w14:paraId="5673940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自评报告</w:t>
      </w:r>
    </w:p>
    <w:p w14:paraId="2654505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562CAAC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471871E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.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项目决策背景</w:t>
      </w:r>
    </w:p>
    <w:p w14:paraId="5F087FF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本单位职能主要负责全县的史志、年鉴资料征编，为社会和经济建设服务。为更好地组织实施史志业务编纂工作，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  <w:t>以史为鉴，更好地达到存史、资政、育人目的，把《会同年鉴》编纂列为专项目资金，纳入年初预算。</w:t>
      </w:r>
    </w:p>
    <w:p w14:paraId="4B4157B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.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项目主要内容</w:t>
      </w:r>
    </w:p>
    <w:p w14:paraId="1D17489B">
      <w:pPr>
        <w:numPr>
          <w:ilvl w:val="0"/>
          <w:numId w:val="0"/>
        </w:numPr>
        <w:ind w:firstLine="64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经过可性性研究、专家论证、风险评估、集体决策等，完成2023年度年鉴资料的收集、整理、编纂、出版工作，保障史志资料的完整性。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该项目属于公益性服务项目，项目完成后用途主要是</w:t>
      </w:r>
      <w:r>
        <w:rPr>
          <w:rFonts w:hint="eastAsia" w:ascii="仿宋" w:hAnsi="仿宋" w:eastAsia="仿宋"/>
          <w:sz w:val="32"/>
          <w:szCs w:val="32"/>
        </w:rPr>
        <w:t>为各界党政领导科学决策提供依据，为会同经济建设提供参考依据</w:t>
      </w:r>
      <w:r>
        <w:rPr>
          <w:rFonts w:hint="eastAsia" w:ascii="仿宋" w:hAnsi="仿宋" w:eastAsia="仿宋"/>
          <w:sz w:val="32"/>
          <w:szCs w:val="32"/>
          <w:lang w:eastAsia="zh-CN"/>
        </w:rPr>
        <w:t>。项目涉及的范围是</w:t>
      </w:r>
      <w:r>
        <w:rPr>
          <w:rFonts w:hint="eastAsia" w:ascii="仿宋" w:hAnsi="仿宋" w:eastAsia="仿宋"/>
          <w:sz w:val="32"/>
          <w:szCs w:val="32"/>
        </w:rPr>
        <w:t>会同县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/>
          <w:sz w:val="32"/>
          <w:szCs w:val="32"/>
        </w:rPr>
        <w:t>年度文化、经济、社会、</w:t>
      </w:r>
      <w:r>
        <w:rPr>
          <w:rFonts w:hint="eastAsia" w:ascii="仿宋" w:hAnsi="仿宋" w:eastAsia="仿宋"/>
          <w:sz w:val="32"/>
          <w:szCs w:val="32"/>
          <w:lang w:eastAsia="zh-CN"/>
        </w:rPr>
        <w:t>民生</w:t>
      </w:r>
      <w:r>
        <w:rPr>
          <w:rFonts w:hint="eastAsia" w:ascii="仿宋" w:hAnsi="仿宋" w:eastAsia="仿宋"/>
          <w:sz w:val="32"/>
          <w:szCs w:val="32"/>
        </w:rPr>
        <w:t>生活等全方面的信息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 w14:paraId="64DD088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.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项目组织管理机构</w:t>
      </w:r>
      <w:bookmarkStart w:id="0" w:name="_Toc10810"/>
    </w:p>
    <w:p w14:paraId="4E659AC0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项目组织管理机构为会同县史志研究室。</w:t>
      </w:r>
    </w:p>
    <w:p w14:paraId="1B7F760A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楷体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况</w:t>
      </w:r>
    </w:p>
    <w:p w14:paraId="6F1FC8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1502C92E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13C31212">
      <w:pPr>
        <w:ind w:firstLine="640" w:firstLineChars="200"/>
        <w:rPr>
          <w:rFonts w:hint="eastAsia" w:ascii="仿宋_GB2312" w:hAnsi="Calibri" w:eastAsia="仿宋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/>
          <w:sz w:val="32"/>
          <w:szCs w:val="32"/>
        </w:rPr>
        <w:t>《会同年鉴》</w:t>
      </w:r>
      <w:r>
        <w:rPr>
          <w:rFonts w:hint="eastAsia" w:ascii="仿宋" w:hAnsi="仿宋" w:eastAsia="仿宋"/>
          <w:sz w:val="32"/>
          <w:szCs w:val="32"/>
          <w:lang w:eastAsia="zh-CN"/>
        </w:rPr>
        <w:t>（2023卷）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编纂</w:t>
      </w:r>
      <w:r>
        <w:rPr>
          <w:rFonts w:hint="eastAsia" w:ascii="仿宋" w:hAnsi="仿宋" w:eastAsia="仿宋"/>
          <w:sz w:val="32"/>
          <w:szCs w:val="32"/>
        </w:rPr>
        <w:t>项目</w:t>
      </w:r>
      <w:r>
        <w:rPr>
          <w:rFonts w:hint="eastAsia" w:ascii="仿宋" w:hAnsi="仿宋" w:eastAsia="仿宋"/>
          <w:sz w:val="32"/>
          <w:szCs w:val="32"/>
          <w:lang w:eastAsia="zh-CN"/>
        </w:rPr>
        <w:t>专项预算</w:t>
      </w:r>
      <w:r>
        <w:rPr>
          <w:rFonts w:hint="eastAsia" w:ascii="仿宋" w:hAnsi="仿宋" w:eastAsia="仿宋"/>
          <w:sz w:val="32"/>
          <w:szCs w:val="32"/>
        </w:rPr>
        <w:t>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pacing w:val="-8"/>
          <w:sz w:val="32"/>
          <w:szCs w:val="32"/>
        </w:rPr>
        <w:t>主要是围绕《会同年鉴》编纂开展工作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sz w:val="32"/>
          <w:szCs w:val="32"/>
          <w:lang w:eastAsia="zh-CN"/>
        </w:rPr>
        <w:t>资金来源全部为县财政拨款，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其中办公费用0.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万元，邮电费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>1.5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万元，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eastAsia="zh-CN"/>
        </w:rPr>
        <w:t>水电费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>0.2万元，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差旅费用0.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万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元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书籍印制费用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万元，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eastAsia="zh-CN"/>
        </w:rPr>
        <w:t>其他商品服务经费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>2.3万元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eastAsia="zh-CN"/>
        </w:rPr>
        <w:t>资金纳入县财政年初预算，经单位进行项目申报后，通过预算管理一体化系统拨付到单位指标中。</w:t>
      </w:r>
    </w:p>
    <w:p w14:paraId="5737A3B9"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38EE3EA6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仿宋" w:hAnsi="仿宋" w:eastAsia="仿宋"/>
          <w:sz w:val="32"/>
          <w:szCs w:val="32"/>
          <w:lang w:eastAsia="zh-CN"/>
        </w:rPr>
        <w:t>2023</w:t>
      </w:r>
      <w:r>
        <w:rPr>
          <w:rFonts w:hint="eastAsia" w:ascii="仿宋" w:hAnsi="仿宋" w:eastAsia="仿宋"/>
          <w:sz w:val="32"/>
          <w:szCs w:val="32"/>
        </w:rPr>
        <w:t>年，县财政</w:t>
      </w:r>
      <w:r>
        <w:rPr>
          <w:rFonts w:hint="eastAsia" w:ascii="仿宋" w:hAnsi="仿宋" w:eastAsia="仿宋"/>
          <w:sz w:val="32"/>
          <w:szCs w:val="32"/>
          <w:lang w:eastAsia="zh-CN"/>
        </w:rPr>
        <w:t>下达《</w:t>
      </w:r>
      <w:r>
        <w:rPr>
          <w:rFonts w:hint="eastAsia" w:ascii="仿宋" w:hAnsi="仿宋" w:eastAsia="仿宋"/>
          <w:sz w:val="32"/>
          <w:szCs w:val="32"/>
        </w:rPr>
        <w:t>会同年鉴</w:t>
      </w:r>
      <w:r>
        <w:rPr>
          <w:rFonts w:hint="eastAsia" w:ascii="仿宋" w:hAnsi="仿宋" w:eastAsia="仿宋"/>
          <w:sz w:val="32"/>
          <w:szCs w:val="32"/>
          <w:lang w:eastAsia="zh-CN"/>
        </w:rPr>
        <w:t>》</w:t>
      </w:r>
      <w:r>
        <w:rPr>
          <w:rFonts w:hint="eastAsia" w:ascii="仿宋" w:hAnsi="仿宋" w:eastAsia="仿宋"/>
          <w:sz w:val="32"/>
          <w:szCs w:val="32"/>
        </w:rPr>
        <w:t>项目专项资金13万元，到位资金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/>
          <w:sz w:val="32"/>
          <w:szCs w:val="32"/>
        </w:rPr>
        <w:t>万元，到位率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sz w:val="32"/>
          <w:szCs w:val="32"/>
        </w:rPr>
        <w:t>%</w:t>
      </w:r>
    </w:p>
    <w:p w14:paraId="227E13A8"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70612B7C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《会同年鉴》（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2023卷）编纂项目</w:t>
      </w:r>
      <w:r>
        <w:rPr>
          <w:rFonts w:hint="eastAsia" w:ascii="仿宋" w:hAnsi="仿宋" w:eastAsia="仿宋"/>
          <w:sz w:val="32"/>
          <w:szCs w:val="32"/>
        </w:rPr>
        <w:t>资金</w:t>
      </w:r>
      <w:r>
        <w:rPr>
          <w:rFonts w:hint="eastAsia" w:ascii="仿宋" w:hAnsi="仿宋" w:eastAsia="仿宋"/>
          <w:sz w:val="32"/>
          <w:szCs w:val="32"/>
          <w:lang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使用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9.4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使用本年度预算资金9.4万元。</w:t>
      </w:r>
    </w:p>
    <w:p w14:paraId="3C98EA60"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3ADA4E6D">
      <w:pPr>
        <w:pStyle w:val="10"/>
        <w:widowControl w:val="0"/>
        <w:tabs>
          <w:tab w:val="left" w:pos="1040"/>
        </w:tabs>
        <w:spacing w:line="560" w:lineRule="exact"/>
        <w:ind w:left="0" w:leftChars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</w:t>
      </w:r>
      <w:r>
        <w:rPr>
          <w:rFonts w:hint="eastAsia" w:ascii="仿宋" w:hAnsi="仿宋" w:eastAsia="仿宋" w:cs="宋体"/>
          <w:color w:val="333333"/>
          <w:sz w:val="32"/>
          <w:szCs w:val="32"/>
        </w:rPr>
        <w:t>一是</w:t>
      </w:r>
      <w:r>
        <w:rPr>
          <w:rFonts w:hint="eastAsia" w:ascii="仿宋" w:hAnsi="仿宋" w:eastAsia="仿宋"/>
          <w:sz w:val="32"/>
          <w:szCs w:val="32"/>
        </w:rPr>
        <w:t>制定</w:t>
      </w:r>
      <w:r>
        <w:rPr>
          <w:rFonts w:hint="eastAsia" w:ascii="仿宋" w:hAnsi="仿宋" w:eastAsia="仿宋"/>
          <w:sz w:val="32"/>
          <w:szCs w:val="32"/>
          <w:lang w:eastAsia="zh-CN"/>
        </w:rPr>
        <w:t>了</w:t>
      </w:r>
      <w:r>
        <w:rPr>
          <w:rFonts w:hint="eastAsia" w:ascii="仿宋" w:hAnsi="仿宋" w:eastAsia="仿宋"/>
          <w:sz w:val="32"/>
          <w:szCs w:val="32"/>
        </w:rPr>
        <w:t>精细的财务管理制度及相关项目资金管理措施，项目资金实行分项核算</w:t>
      </w:r>
      <w:r>
        <w:rPr>
          <w:rFonts w:hint="eastAsia" w:ascii="仿宋" w:hAnsi="仿宋" w:eastAsia="仿宋"/>
          <w:spacing w:val="-6"/>
          <w:sz w:val="32"/>
          <w:szCs w:val="32"/>
        </w:rPr>
        <w:t>，做到专款专用，无挤占、挪用、串用的现象。二是</w:t>
      </w:r>
      <w:r>
        <w:rPr>
          <w:rFonts w:hint="eastAsia" w:ascii="仿宋" w:hAnsi="仿宋" w:eastAsia="仿宋"/>
          <w:sz w:val="32"/>
          <w:szCs w:val="32"/>
        </w:rPr>
        <w:t>规范项目资金支付程序，</w:t>
      </w:r>
      <w:r>
        <w:rPr>
          <w:rFonts w:hint="eastAsia" w:ascii="仿宋" w:hAnsi="仿宋" w:eastAsia="仿宋"/>
          <w:sz w:val="32"/>
          <w:szCs w:val="32"/>
          <w:lang w:eastAsia="zh-CN"/>
        </w:rPr>
        <w:t>严把项目资金关，</w:t>
      </w:r>
      <w:r>
        <w:rPr>
          <w:rFonts w:hint="eastAsia" w:ascii="仿宋" w:hAnsi="仿宋" w:eastAsia="仿宋"/>
          <w:sz w:val="32"/>
          <w:szCs w:val="32"/>
        </w:rPr>
        <w:t>制定精细的财务管理制度及相关项目资金管理措施</w:t>
      </w:r>
      <w:r>
        <w:rPr>
          <w:rFonts w:hint="eastAsia" w:ascii="仿宋" w:hAnsi="仿宋" w:eastAsia="仿宋"/>
          <w:sz w:val="32"/>
          <w:szCs w:val="32"/>
          <w:lang w:eastAsia="zh-CN"/>
        </w:rPr>
        <w:t>，不定期开展日常检查及监督管理，</w:t>
      </w:r>
      <w:r>
        <w:rPr>
          <w:rFonts w:hint="eastAsia" w:ascii="仿宋" w:hAnsi="仿宋" w:eastAsia="仿宋"/>
          <w:sz w:val="32"/>
          <w:szCs w:val="32"/>
        </w:rPr>
        <w:t>规范项目资金支付程序，对项目资金使用情况进行</w:t>
      </w:r>
      <w:r>
        <w:rPr>
          <w:rFonts w:hint="eastAsia" w:ascii="仿宋" w:hAnsi="仿宋" w:eastAsia="仿宋"/>
          <w:sz w:val="32"/>
          <w:szCs w:val="32"/>
          <w:lang w:eastAsia="zh-CN"/>
        </w:rPr>
        <w:t>公开</w:t>
      </w:r>
      <w:r>
        <w:rPr>
          <w:rFonts w:hint="eastAsia" w:ascii="仿宋" w:hAnsi="仿宋" w:eastAsia="仿宋"/>
          <w:sz w:val="32"/>
          <w:szCs w:val="32"/>
        </w:rPr>
        <w:t>公示。</w:t>
      </w:r>
    </w:p>
    <w:p w14:paraId="670FF80E"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情况</w:t>
      </w:r>
    </w:p>
    <w:p w14:paraId="02AB9C17">
      <w:pPr>
        <w:spacing w:line="580" w:lineRule="exact"/>
        <w:ind w:firstLine="640" w:firstLineChars="200"/>
        <w:outlineLvl w:val="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/>
          <w:sz w:val="32"/>
          <w:szCs w:val="32"/>
        </w:rPr>
        <w:t>一是加强组织领导，成立</w:t>
      </w:r>
      <w:r>
        <w:rPr>
          <w:rFonts w:hint="eastAsia" w:ascii="仿宋" w:hAnsi="仿宋" w:eastAsia="仿宋"/>
          <w:sz w:val="32"/>
          <w:szCs w:val="32"/>
          <w:lang w:eastAsia="zh-CN"/>
        </w:rPr>
        <w:t>《会同年鉴》</w:t>
      </w:r>
      <w:r>
        <w:rPr>
          <w:rFonts w:hint="eastAsia" w:ascii="仿宋" w:hAnsi="仿宋" w:eastAsia="仿宋"/>
          <w:sz w:val="32"/>
          <w:szCs w:val="32"/>
        </w:rPr>
        <w:t>项目实施领导小组，促进项目顺利实施。二是严格按照省市项目批复、实施方案组织项目实施。三是实行政府采购制度和专人负责制，对项目发行、印刷过程</w:t>
      </w:r>
      <w:r>
        <w:rPr>
          <w:rFonts w:hint="eastAsia" w:ascii="仿宋" w:hAnsi="仿宋" w:eastAsia="仿宋"/>
          <w:sz w:val="32"/>
          <w:szCs w:val="32"/>
          <w:lang w:eastAsia="zh-CN"/>
        </w:rPr>
        <w:t>通过省政采云电子卖场平台，实行网上公开透明采购</w:t>
      </w:r>
      <w:r>
        <w:rPr>
          <w:rFonts w:hint="eastAsia" w:ascii="仿宋" w:hAnsi="仿宋" w:eastAsia="仿宋"/>
          <w:sz w:val="32"/>
          <w:szCs w:val="32"/>
        </w:rPr>
        <w:t>，建立事先、事中、事后监督机制。四是健全项目质量保证体系，成立项目工程督查和质检小组，对项目实施中的各环节检查验收，严把项目完成后</w:t>
      </w:r>
      <w:r>
        <w:rPr>
          <w:rFonts w:hint="eastAsia" w:ascii="仿宋" w:hAnsi="仿宋" w:eastAsia="仿宋"/>
          <w:sz w:val="32"/>
          <w:szCs w:val="32"/>
          <w:lang w:eastAsia="zh-CN"/>
        </w:rPr>
        <w:t>入库</w:t>
      </w:r>
      <w:r>
        <w:rPr>
          <w:rFonts w:hint="eastAsia" w:ascii="仿宋" w:hAnsi="仿宋" w:eastAsia="仿宋"/>
          <w:sz w:val="32"/>
          <w:szCs w:val="32"/>
        </w:rPr>
        <w:t>关、质量关。</w:t>
      </w:r>
    </w:p>
    <w:p w14:paraId="5B238E6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720BA11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3311CB5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经过可性性研究、专家论证、风险评估、集体决策等，完成2024年度年鉴资料的收集、整理、编纂、出版工作，符合单位职责，保障史志资料的完整性。</w:t>
      </w:r>
    </w:p>
    <w:p w14:paraId="52A46DF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2.绩效指标</w:t>
      </w:r>
    </w:p>
    <w:p w14:paraId="44C3C537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根据单位的职能职责，根据相关性、重要性、可比性、系统性和经济性原则，确定绩效指标的种类，合理设置和准确制定项目绩效指标，确保项目按时、按质、按量完成。</w:t>
      </w:r>
    </w:p>
    <w:p w14:paraId="45C3C04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3BA0C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2F9CC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为了加强本单位财政支出管理，强化支出责任，建立科学、合理的财政支出绩效评价管理体系，更好地提高财政资金使用效益，进行本单位绩效评价。</w:t>
      </w:r>
    </w:p>
    <w:p w14:paraId="06AFF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" w:name="_Toc1184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1"/>
    </w:p>
    <w:p w14:paraId="06B47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评价单位为会同县史志研究室，绩效评价范围是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《会同年鉴》（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2023卷）编纂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项目支出，时段是2023年。</w:t>
      </w:r>
    </w:p>
    <w:p w14:paraId="1BE9EA1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2"/>
    </w:p>
    <w:p w14:paraId="72E126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绩效评价遵循科学规范、公正公开、分级分类、绩效相关原则，按照共性指标和个性指标，根据计划标准、行业标准和历史标准建立评价指标体系，坚持简便有效原则，</w:t>
      </w:r>
      <w:r>
        <w:rPr>
          <w:rFonts w:hint="eastAsia" w:ascii="仿宋" w:hAnsi="仿宋" w:eastAsia="仿宋" w:cs="仿宋"/>
          <w:sz w:val="32"/>
          <w:szCs w:val="32"/>
        </w:rPr>
        <w:t>采用综合评价法，以定性分析与定量分析相结合，实事求是地全面分析评价项目的绩效情况。通过规范程序，保证了评价依据的充分有效，及时完成了项目绩效评价报告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 w14:paraId="6BADE56A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32076"/>
      <w:bookmarkStart w:id="4" w:name="_Toc7615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主要绩效及评价结论</w:t>
      </w:r>
      <w:bookmarkEnd w:id="3"/>
      <w:bookmarkEnd w:id="4"/>
    </w:p>
    <w:p w14:paraId="3B08AC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 w14:paraId="3DD083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效果明显，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</w:rPr>
        <w:t>按照年度时间系统记载每一年最新、最有价值的信息，为各界党政领导科学决策提供依据，为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  <w:t>社会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</w:rPr>
        <w:t>经济建设提供参考依据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宋体"/>
          <w:color w:val="343233"/>
          <w:kern w:val="0"/>
          <w:sz w:val="32"/>
          <w:szCs w:val="32"/>
          <w:lang w:eastAsia="zh-CN"/>
        </w:rPr>
        <w:t>持续增加了地方资料、县域品牌形象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  <w:t>。</w:t>
      </w:r>
    </w:p>
    <w:p w14:paraId="1EA1B8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（二）生态效益</w:t>
      </w:r>
    </w:p>
    <w:p w14:paraId="4E3C92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  <w:t>该项目虽没有产生直接相关的生态效益，但对环境无任何污染，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</w:rPr>
        <w:t>绿色、生态、环保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  <w:t>，效果不明显，但有一定的生态效益。</w:t>
      </w:r>
    </w:p>
    <w:p w14:paraId="47A23F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</w:t>
      </w:r>
    </w:p>
    <w:p w14:paraId="2FAF963A">
      <w:pPr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/>
          <w:sz w:val="32"/>
          <w:szCs w:val="32"/>
        </w:rPr>
        <w:t>《会同年鉴》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  <w:t>以史为鉴，达到存史、资政、育人目的，起到了对县域历史文化研究，惠及子孙带来可持续影响，</w:t>
      </w:r>
      <w:r>
        <w:rPr>
          <w:rFonts w:hint="eastAsia" w:ascii="仿宋" w:hAnsi="仿宋" w:eastAsia="仿宋"/>
          <w:sz w:val="32"/>
          <w:szCs w:val="32"/>
        </w:rPr>
        <w:t>对促进全县社会发展起到重要的借鉴和推动作用。</w:t>
      </w:r>
    </w:p>
    <w:p w14:paraId="32299E8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2C525F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宋体"/>
          <w:color w:val="343233"/>
          <w:kern w:val="0"/>
          <w:sz w:val="32"/>
          <w:szCs w:val="32"/>
          <w:lang w:eastAsia="zh-CN"/>
        </w:rPr>
        <w:t>服务对象满意度达到</w:t>
      </w:r>
      <w:r>
        <w:rPr>
          <w:rFonts w:hint="eastAsia" w:ascii="仿宋" w:hAnsi="仿宋" w:eastAsia="仿宋" w:cs="宋体"/>
          <w:color w:val="343233"/>
          <w:kern w:val="0"/>
          <w:sz w:val="32"/>
          <w:szCs w:val="32"/>
          <w:lang w:val="en-US" w:eastAsia="zh-CN"/>
        </w:rPr>
        <w:t>95%以上。</w:t>
      </w:r>
    </w:p>
    <w:p w14:paraId="1AFEBAB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7A9B8C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该项目评价得分86.4，为良好等级。</w:t>
      </w:r>
    </w:p>
    <w:p w14:paraId="4AC7B5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5" w:name="_Toc27541"/>
      <w:bookmarkStart w:id="6" w:name="_Toc16332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5"/>
      <w:bookmarkEnd w:id="6"/>
    </w:p>
    <w:p w14:paraId="48822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</w:pPr>
      <w:bookmarkStart w:id="7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 w:themeColor="text1"/>
          <w:spacing w:val="-23"/>
          <w:kern w:val="0"/>
          <w:sz w:val="32"/>
          <w:szCs w:val="32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项目决策情况</w:t>
      </w:r>
      <w:bookmarkEnd w:id="7"/>
    </w:p>
    <w:p w14:paraId="516A7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根据本单位职现职能，为更好地进行的史志征编，更好地组织实施史志业务编纂工作，为社会和经济建设服务，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  <w:t>以史为鉴，达到存史、资政、育人目的，</w:t>
      </w:r>
      <w:bookmarkStart w:id="8" w:name="_Toc28411"/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  <w:t>根据年鉴的相关编纂要求，结合本县实际，本着科学实用原则进行项目决策。</w:t>
      </w:r>
    </w:p>
    <w:p w14:paraId="2485E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8"/>
    </w:p>
    <w:p w14:paraId="60458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1014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9"/>
    </w:p>
    <w:p w14:paraId="2EDB15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2"/>
        <w:rPr>
          <w:rFonts w:hint="eastAsia" w:ascii="仿宋" w:hAnsi="仿宋" w:eastAsia="仿宋"/>
          <w:sz w:val="32"/>
          <w:szCs w:val="32"/>
        </w:rPr>
      </w:pPr>
      <w:bookmarkStart w:id="10" w:name="_Toc1210"/>
      <w:r>
        <w:rPr>
          <w:rFonts w:hint="eastAsia" w:ascii="仿宋" w:hAnsi="仿宋" w:eastAsia="仿宋" w:cs="宋体"/>
          <w:color w:val="333333"/>
          <w:sz w:val="32"/>
          <w:szCs w:val="32"/>
        </w:rPr>
        <w:t>一是</w:t>
      </w:r>
      <w:r>
        <w:rPr>
          <w:rFonts w:hint="eastAsia" w:ascii="仿宋" w:hAnsi="仿宋" w:eastAsia="仿宋"/>
          <w:sz w:val="32"/>
          <w:szCs w:val="32"/>
        </w:rPr>
        <w:t>制定</w:t>
      </w:r>
      <w:r>
        <w:rPr>
          <w:rFonts w:hint="eastAsia" w:ascii="仿宋" w:hAnsi="仿宋" w:eastAsia="仿宋"/>
          <w:sz w:val="32"/>
          <w:szCs w:val="32"/>
          <w:lang w:eastAsia="zh-CN"/>
        </w:rPr>
        <w:t>了</w:t>
      </w:r>
      <w:r>
        <w:rPr>
          <w:rFonts w:hint="eastAsia" w:ascii="仿宋" w:hAnsi="仿宋" w:eastAsia="仿宋"/>
          <w:sz w:val="32"/>
          <w:szCs w:val="32"/>
        </w:rPr>
        <w:t>精细的财务管理制度及相关项目资金管理措施，项目资金实行分项核算</w:t>
      </w:r>
      <w:r>
        <w:rPr>
          <w:rFonts w:hint="eastAsia" w:ascii="仿宋" w:hAnsi="仿宋" w:eastAsia="仿宋"/>
          <w:spacing w:val="-6"/>
          <w:sz w:val="32"/>
          <w:szCs w:val="32"/>
        </w:rPr>
        <w:t>，做到专款专用，无挤占、挪用、串用的现象。二是</w:t>
      </w:r>
      <w:r>
        <w:rPr>
          <w:rFonts w:hint="eastAsia" w:ascii="仿宋" w:hAnsi="仿宋" w:eastAsia="仿宋"/>
          <w:sz w:val="32"/>
          <w:szCs w:val="32"/>
        </w:rPr>
        <w:t>规范项目资金支付程序，</w:t>
      </w:r>
      <w:r>
        <w:rPr>
          <w:rFonts w:hint="eastAsia" w:ascii="仿宋" w:hAnsi="仿宋" w:eastAsia="仿宋"/>
          <w:sz w:val="32"/>
          <w:szCs w:val="32"/>
          <w:lang w:eastAsia="zh-CN"/>
        </w:rPr>
        <w:t>严把项目资金关，</w:t>
      </w:r>
      <w:r>
        <w:rPr>
          <w:rFonts w:hint="eastAsia" w:ascii="仿宋" w:hAnsi="仿宋" w:eastAsia="仿宋"/>
          <w:sz w:val="32"/>
          <w:szCs w:val="32"/>
        </w:rPr>
        <w:t>制定精细的财务管理制度及相关项目资金管理措施</w:t>
      </w:r>
      <w:r>
        <w:rPr>
          <w:rFonts w:hint="eastAsia" w:ascii="仿宋" w:hAnsi="仿宋" w:eastAsia="仿宋"/>
          <w:sz w:val="32"/>
          <w:szCs w:val="32"/>
          <w:lang w:eastAsia="zh-CN"/>
        </w:rPr>
        <w:t>，不定期开展日常检查及监督管理，</w:t>
      </w:r>
      <w:r>
        <w:rPr>
          <w:rFonts w:hint="eastAsia" w:ascii="仿宋" w:hAnsi="仿宋" w:eastAsia="仿宋"/>
          <w:sz w:val="32"/>
          <w:szCs w:val="32"/>
        </w:rPr>
        <w:t>规范项目资金支付程序，对项目资金使用情况进行</w:t>
      </w:r>
      <w:r>
        <w:rPr>
          <w:rFonts w:hint="eastAsia" w:ascii="仿宋" w:hAnsi="仿宋" w:eastAsia="仿宋"/>
          <w:sz w:val="32"/>
          <w:szCs w:val="32"/>
          <w:lang w:eastAsia="zh-CN"/>
        </w:rPr>
        <w:t>公开</w:t>
      </w:r>
      <w:r>
        <w:rPr>
          <w:rFonts w:hint="eastAsia" w:ascii="仿宋" w:hAnsi="仿宋" w:eastAsia="仿宋"/>
          <w:sz w:val="32"/>
          <w:szCs w:val="32"/>
        </w:rPr>
        <w:t>公示。</w:t>
      </w:r>
    </w:p>
    <w:p w14:paraId="06FA53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2.项目实施</w:t>
      </w:r>
      <w:bookmarkEnd w:id="10"/>
    </w:p>
    <w:p w14:paraId="2C8C9271">
      <w:pPr>
        <w:spacing w:line="580" w:lineRule="exact"/>
        <w:ind w:firstLine="640" w:firstLineChars="200"/>
        <w:outlineLvl w:val="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6604"/>
      <w:r>
        <w:rPr>
          <w:rFonts w:hint="eastAsia" w:ascii="仿宋" w:hAnsi="仿宋" w:eastAsia="仿宋"/>
          <w:sz w:val="32"/>
          <w:szCs w:val="32"/>
        </w:rPr>
        <w:t>一是加强组织领导，成立</w:t>
      </w:r>
      <w:r>
        <w:rPr>
          <w:rFonts w:hint="eastAsia" w:ascii="仿宋" w:hAnsi="仿宋" w:eastAsia="仿宋"/>
          <w:sz w:val="32"/>
          <w:szCs w:val="32"/>
          <w:lang w:eastAsia="zh-CN"/>
        </w:rPr>
        <w:t>《会同年鉴》</w:t>
      </w:r>
      <w:r>
        <w:rPr>
          <w:rFonts w:hint="eastAsia" w:ascii="仿宋" w:hAnsi="仿宋" w:eastAsia="仿宋"/>
          <w:sz w:val="32"/>
          <w:szCs w:val="32"/>
        </w:rPr>
        <w:t>项目实施领导小组，促进项目顺利实施。二是严格按照项目批复、实施方案组织项目实施。三是实行政府采购制度和专人负责制，对项目发行、印刷过程</w:t>
      </w:r>
      <w:r>
        <w:rPr>
          <w:rFonts w:hint="eastAsia" w:ascii="仿宋" w:hAnsi="仿宋" w:eastAsia="仿宋"/>
          <w:sz w:val="32"/>
          <w:szCs w:val="32"/>
          <w:lang w:eastAsia="zh-CN"/>
        </w:rPr>
        <w:t>通过省政采云电子卖场平台，实行网上公开透明采购</w:t>
      </w:r>
      <w:r>
        <w:rPr>
          <w:rFonts w:hint="eastAsia" w:ascii="仿宋" w:hAnsi="仿宋" w:eastAsia="仿宋"/>
          <w:sz w:val="32"/>
          <w:szCs w:val="32"/>
        </w:rPr>
        <w:t>，建立事先、事中、事后监督机制。四是健全项目质量保证体系，成立项目工程督查和质检小组，对项目实施中的各环节检查验收，严把项目完成后</w:t>
      </w:r>
      <w:r>
        <w:rPr>
          <w:rFonts w:hint="eastAsia" w:ascii="仿宋" w:hAnsi="仿宋" w:eastAsia="仿宋"/>
          <w:sz w:val="32"/>
          <w:szCs w:val="32"/>
          <w:lang w:eastAsia="zh-CN"/>
        </w:rPr>
        <w:t>入库</w:t>
      </w:r>
      <w:r>
        <w:rPr>
          <w:rFonts w:hint="eastAsia" w:ascii="仿宋" w:hAnsi="仿宋" w:eastAsia="仿宋"/>
          <w:sz w:val="32"/>
          <w:szCs w:val="32"/>
        </w:rPr>
        <w:t>关、质量关。</w:t>
      </w:r>
    </w:p>
    <w:p w14:paraId="4162032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11"/>
    </w:p>
    <w:p w14:paraId="0E3616D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2" w:name="_Toc2074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2"/>
    </w:p>
    <w:p w14:paraId="5632257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该项目计划在12月底以前完成500本年鉴的印刷发行，因各项原因，没有按时完成。</w:t>
      </w:r>
    </w:p>
    <w:p w14:paraId="1A0F56AC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3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  <w:bookmarkEnd w:id="13"/>
    </w:p>
    <w:p w14:paraId="7721C9F6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该项目在编纂过程中注重稿件质量，实行三审三校原则，编纂的书籍基本达到新闻出版局质量标准</w:t>
      </w:r>
      <w:bookmarkStart w:id="14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 w14:paraId="269CD4A5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  <w:bookmarkEnd w:id="14"/>
    </w:p>
    <w:p w14:paraId="6CB4D811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该项目经济成本计划全年编纂经费为13万元，实际使用资金9.4万元，计划社会成本节约率为0，实际为0，成本完成控制在年初计划内。</w:t>
      </w:r>
    </w:p>
    <w:p w14:paraId="78C92540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5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  <w:bookmarkEnd w:id="15"/>
    </w:p>
    <w:p w14:paraId="32E0F655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该项目计划在12月底全部完成，因各项原因，项目拖到2024年，时效性有所欠缺。</w:t>
      </w:r>
      <w:bookmarkStart w:id="16" w:name="_Toc12690"/>
      <w:bookmarkStart w:id="17" w:name="_Toc3072"/>
    </w:p>
    <w:p w14:paraId="0673908B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outlineLvl w:val="2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（四）项目效益情况</w:t>
      </w:r>
      <w:bookmarkEnd w:id="16"/>
      <w:bookmarkEnd w:id="17"/>
    </w:p>
    <w:p w14:paraId="13530676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宋体"/>
          <w:color w:val="343233"/>
          <w:kern w:val="0"/>
          <w:sz w:val="32"/>
          <w:szCs w:val="32"/>
        </w:rPr>
        <w:t>《会同年鉴》按照年度时间系统记载每一年最新、最有价值的信息，为各界党政领导科学决策提供依据，为会同经济建设提供参考依据，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</w:rPr>
        <w:t>绿色、生态、环保，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eastAsia="zh-CN"/>
        </w:rPr>
        <w:t>以史为鉴，达到存史、资政、育人目的，起到了对县域历史文化研究，惠及子孙带来可持续影响，</w:t>
      </w:r>
      <w:r>
        <w:rPr>
          <w:rFonts w:hint="eastAsia" w:ascii="仿宋" w:hAnsi="仿宋" w:eastAsia="仿宋" w:cs="宋体"/>
          <w:color w:val="343233"/>
          <w:kern w:val="0"/>
          <w:sz w:val="32"/>
          <w:szCs w:val="32"/>
          <w:lang w:eastAsia="zh-CN"/>
        </w:rPr>
        <w:t>持续增加了地方资料、县域品牌形象，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</w:rPr>
        <w:t>对社会发展起积极的借鉴和推动作用</w:t>
      </w:r>
    </w:p>
    <w:p w14:paraId="62675F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8" w:name="_Toc390267055"/>
      <w:bookmarkStart w:id="19" w:name="_Toc390096931"/>
      <w:bookmarkStart w:id="20" w:name="_Toc24241"/>
      <w:bookmarkStart w:id="21" w:name="_Toc12414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18"/>
      <w:bookmarkEnd w:id="19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0"/>
      <w:bookmarkEnd w:id="21"/>
    </w:p>
    <w:p w14:paraId="3B5AB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23434"/>
      <w:bookmarkStart w:id="23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3"/>
    </w:p>
    <w:p w14:paraId="76B2D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一是加强资金的管理，</w:t>
      </w:r>
      <w:r>
        <w:rPr>
          <w:rFonts w:hint="eastAsia" w:ascii="仿宋" w:hAnsi="仿宋" w:eastAsia="仿宋"/>
          <w:sz w:val="32"/>
          <w:szCs w:val="32"/>
        </w:rPr>
        <w:t>定</w:t>
      </w:r>
      <w:r>
        <w:rPr>
          <w:rFonts w:hint="eastAsia" w:ascii="仿宋" w:hAnsi="仿宋" w:eastAsia="仿宋"/>
          <w:sz w:val="32"/>
          <w:szCs w:val="32"/>
          <w:lang w:eastAsia="zh-CN"/>
        </w:rPr>
        <w:t>了</w:t>
      </w:r>
      <w:r>
        <w:rPr>
          <w:rFonts w:hint="eastAsia" w:ascii="仿宋" w:hAnsi="仿宋" w:eastAsia="仿宋"/>
          <w:sz w:val="32"/>
          <w:szCs w:val="32"/>
        </w:rPr>
        <w:t>精细的财务管理制度及相关项目资金管理措施，</w:t>
      </w:r>
      <w:r>
        <w:rPr>
          <w:rFonts w:hint="eastAsia" w:ascii="仿宋" w:hAnsi="仿宋" w:eastAsia="仿宋"/>
          <w:sz w:val="32"/>
          <w:szCs w:val="32"/>
          <w:lang w:eastAsia="zh-CN"/>
        </w:rPr>
        <w:t>做到专款专用，</w:t>
      </w:r>
      <w:r>
        <w:rPr>
          <w:rFonts w:hint="eastAsia" w:ascii="仿宋" w:hAnsi="仿宋" w:eastAsia="仿宋"/>
          <w:sz w:val="32"/>
          <w:szCs w:val="32"/>
        </w:rPr>
        <w:t>规范项目资金支付程序，</w:t>
      </w:r>
      <w:r>
        <w:rPr>
          <w:rFonts w:hint="eastAsia" w:ascii="仿宋" w:hAnsi="仿宋" w:eastAsia="仿宋"/>
          <w:sz w:val="32"/>
          <w:szCs w:val="32"/>
          <w:lang w:eastAsia="zh-CN"/>
        </w:rPr>
        <w:t>严把项目资金关。二是在项目实施过程中，</w:t>
      </w:r>
      <w:r>
        <w:rPr>
          <w:rFonts w:hint="eastAsia" w:ascii="仿宋" w:hAnsi="仿宋" w:eastAsia="仿宋"/>
          <w:sz w:val="32"/>
          <w:szCs w:val="32"/>
        </w:rPr>
        <w:t>加强组织领导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严格按照项目批复、实施方案组织项目实施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健全项目质量保证体系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严格按照省市县关于年鉴工作编纂的要求，按时保质保量地完成下年度年鉴工作。</w:t>
      </w:r>
    </w:p>
    <w:p w14:paraId="50D0E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4" w:name="_Toc2597"/>
      <w:bookmarkStart w:id="25" w:name="_Toc677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4"/>
      <w:bookmarkEnd w:id="25"/>
    </w:p>
    <w:p w14:paraId="2B8A94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绩效目标中，计划在年底完成年鉴的印刷出版没有完成。主要原因是因为单位主要负责人请病假半年后于5月不治身亡，单位人事变动频繁，导致工作被动滞后，加之本年启动了《会同扶贫志》的编纂，单位人手少疲于应付各项工作任务，影响了编纂进度，致使印刷出版滞后。</w:t>
      </w:r>
    </w:p>
    <w:p w14:paraId="6425D1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6" w:name="_Toc16271"/>
      <w:bookmarkStart w:id="27" w:name="_Toc29278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26"/>
      <w:bookmarkEnd w:id="27"/>
    </w:p>
    <w:p w14:paraId="640C17CD"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年鉴工作需要各单位部门密切配合，牵涉面广，任务量大、要求精细，加之因纸张成本增加，造成印刷费用大幅增加，但项目预算每年只减不增，经费困难问题非常突出，</w:t>
      </w:r>
      <w:r>
        <w:rPr>
          <w:rFonts w:hint="eastAsia" w:ascii="仿宋" w:hAnsi="仿宋" w:eastAsia="仿宋"/>
          <w:sz w:val="32"/>
          <w:szCs w:val="32"/>
          <w:lang w:eastAsia="zh-CN"/>
        </w:rPr>
        <w:t>本年度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项目印刷费还没有支付。</w:t>
      </w:r>
      <w:r>
        <w:rPr>
          <w:rFonts w:hint="eastAsia" w:ascii="仿宋" w:hAnsi="仿宋" w:eastAsia="仿宋"/>
          <w:sz w:val="32"/>
          <w:szCs w:val="32"/>
        </w:rPr>
        <w:t>建议</w:t>
      </w:r>
      <w:r>
        <w:rPr>
          <w:rFonts w:hint="eastAsia" w:ascii="仿宋" w:hAnsi="仿宋" w:eastAsia="仿宋"/>
          <w:sz w:val="32"/>
          <w:szCs w:val="32"/>
          <w:lang w:eastAsia="zh-CN"/>
        </w:rPr>
        <w:t>下年度继续保留该项目，并适当</w:t>
      </w:r>
      <w:r>
        <w:rPr>
          <w:rFonts w:hint="eastAsia" w:ascii="仿宋" w:hAnsi="仿宋" w:eastAsia="仿宋"/>
          <w:sz w:val="32"/>
          <w:szCs w:val="32"/>
        </w:rPr>
        <w:t>增</w:t>
      </w:r>
      <w:r>
        <w:rPr>
          <w:rFonts w:hint="eastAsia" w:ascii="仿宋" w:hAnsi="仿宋" w:eastAsia="仿宋"/>
          <w:sz w:val="32"/>
          <w:szCs w:val="32"/>
          <w:lang w:eastAsia="zh-CN"/>
        </w:rPr>
        <w:t>加项目经费预算</w:t>
      </w:r>
      <w:r>
        <w:rPr>
          <w:rFonts w:hint="eastAsia" w:ascii="仿宋" w:hAnsi="仿宋" w:eastAsia="仿宋"/>
          <w:sz w:val="32"/>
          <w:szCs w:val="32"/>
        </w:rPr>
        <w:t>，确保项目的正常实施。</w:t>
      </w:r>
    </w:p>
    <w:p w14:paraId="4A4CC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</w:p>
    <w:p w14:paraId="31A2495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</w:p>
    <w:p w14:paraId="39E10D5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附件：</w:t>
      </w:r>
    </w:p>
    <w:p w14:paraId="0A253A3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项目支出绩效自评表</w:t>
      </w:r>
    </w:p>
    <w:p w14:paraId="682F77D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2694174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06D4472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jc w:val="right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3E31F27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jc w:val="righ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会同县史志研究室</w:t>
      </w:r>
    </w:p>
    <w:p w14:paraId="0568DAE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jc w:val="right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2024年8月26日</w:t>
      </w:r>
    </w:p>
    <w:p w14:paraId="321AFDC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jc w:val="right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7E55A0F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0CE865D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4E59EFB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0B51867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2C8285DB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8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966"/>
        <w:gridCol w:w="1325"/>
      </w:tblGrid>
      <w:tr w14:paraId="6D603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080" w:type="dxa"/>
            <w:noWrap w:val="0"/>
            <w:vAlign w:val="center"/>
          </w:tcPr>
          <w:p w14:paraId="6A6B51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341ECB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7D3C69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《会同年鉴》（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2023卷）编纂项目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91A3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080" w:type="dxa"/>
            <w:noWrap w:val="0"/>
            <w:vAlign w:val="center"/>
          </w:tcPr>
          <w:p w14:paraId="2E9076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5C540E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会同县委办</w:t>
            </w:r>
          </w:p>
        </w:tc>
        <w:tc>
          <w:tcPr>
            <w:tcW w:w="1134" w:type="dxa"/>
            <w:noWrap w:val="0"/>
            <w:vAlign w:val="center"/>
          </w:tcPr>
          <w:p w14:paraId="547400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04A35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会同县史志研究室</w:t>
            </w:r>
          </w:p>
        </w:tc>
      </w:tr>
      <w:tr w14:paraId="7494F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D4BBB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323485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7E393D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5DE83D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6E6017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70B2C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4686E3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1DD1D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782D3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966" w:type="dxa"/>
            <w:noWrap w:val="0"/>
            <w:vAlign w:val="center"/>
          </w:tcPr>
          <w:p w14:paraId="456695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325" w:type="dxa"/>
            <w:noWrap w:val="0"/>
            <w:vAlign w:val="center"/>
          </w:tcPr>
          <w:p w14:paraId="26AF8D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7299B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90DA8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0AFD1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73BF3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209" w:type="dxa"/>
            <w:noWrap w:val="0"/>
            <w:vAlign w:val="center"/>
          </w:tcPr>
          <w:p w14:paraId="4188E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134" w:type="dxa"/>
            <w:noWrap w:val="0"/>
            <w:vAlign w:val="center"/>
          </w:tcPr>
          <w:p w14:paraId="50E46C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9.4</w:t>
            </w:r>
          </w:p>
        </w:tc>
        <w:tc>
          <w:tcPr>
            <w:tcW w:w="828" w:type="dxa"/>
            <w:noWrap w:val="0"/>
            <w:vAlign w:val="center"/>
          </w:tcPr>
          <w:p w14:paraId="288A78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46B303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72.31%</w:t>
            </w:r>
          </w:p>
        </w:tc>
        <w:tc>
          <w:tcPr>
            <w:tcW w:w="1325" w:type="dxa"/>
            <w:noWrap w:val="0"/>
            <w:vAlign w:val="center"/>
          </w:tcPr>
          <w:p w14:paraId="3932B8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4.4</w:t>
            </w:r>
          </w:p>
        </w:tc>
      </w:tr>
      <w:tr w14:paraId="28B58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07F87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F2DDD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1455F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209" w:type="dxa"/>
            <w:noWrap w:val="0"/>
            <w:vAlign w:val="center"/>
          </w:tcPr>
          <w:p w14:paraId="7D1064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134" w:type="dxa"/>
            <w:noWrap w:val="0"/>
            <w:vAlign w:val="center"/>
          </w:tcPr>
          <w:p w14:paraId="0928B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9.4</w:t>
            </w:r>
          </w:p>
        </w:tc>
        <w:tc>
          <w:tcPr>
            <w:tcW w:w="828" w:type="dxa"/>
            <w:noWrap w:val="0"/>
            <w:vAlign w:val="center"/>
          </w:tcPr>
          <w:p w14:paraId="7219F6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noWrap w:val="0"/>
            <w:vAlign w:val="center"/>
          </w:tcPr>
          <w:p w14:paraId="5D38B5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5" w:type="dxa"/>
            <w:noWrap w:val="0"/>
            <w:vAlign w:val="center"/>
          </w:tcPr>
          <w:p w14:paraId="585A3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38E20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796CB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516EE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2163D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70983F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655332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58B771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66" w:type="dxa"/>
            <w:noWrap w:val="0"/>
            <w:vAlign w:val="center"/>
          </w:tcPr>
          <w:p w14:paraId="0742B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25" w:type="dxa"/>
            <w:noWrap w:val="0"/>
            <w:vAlign w:val="center"/>
          </w:tcPr>
          <w:p w14:paraId="33E08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D468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19763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253948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62B3F3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250EC1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4179F0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7ABE2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66" w:type="dxa"/>
            <w:noWrap w:val="0"/>
            <w:vAlign w:val="center"/>
          </w:tcPr>
          <w:p w14:paraId="1A01E2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25" w:type="dxa"/>
            <w:noWrap w:val="0"/>
            <w:vAlign w:val="center"/>
          </w:tcPr>
          <w:p w14:paraId="0E181E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CC7E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136C2F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753B80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08068F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50FC1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93214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2EECFC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经过可性性研究、专家论证、风险评估、集体决策等，完成2024年度年鉴资料的收集、整理、编纂、出版工作，符合单位职责，保障史志资料的完整性。　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27024F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经过可性性研究、专家论证、风险评估、集体决策等，完成2024年度年鉴资料的收集、整理、编纂、出版工作，符合单位职责，保障史志资料的完整性。</w:t>
            </w:r>
          </w:p>
        </w:tc>
      </w:tr>
      <w:tr w14:paraId="20FA2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738DFD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2FDB85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1EFCDE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64B041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1FEDEF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2DC307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25C7B7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2980B3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106F9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30FD9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02CC8C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2EAEAD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66" w:type="dxa"/>
            <w:noWrap w:val="0"/>
            <w:vAlign w:val="center"/>
          </w:tcPr>
          <w:p w14:paraId="220B57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325" w:type="dxa"/>
            <w:noWrap w:val="0"/>
            <w:vAlign w:val="center"/>
          </w:tcPr>
          <w:p w14:paraId="7E6464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1A3546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135BDD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5C434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9BFB6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42628A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6F3858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5ECD4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63623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会同年鉴（202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bookmarkStart w:id="28" w:name="_GoBack"/>
            <w:bookmarkEnd w:id="28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卷）印制发行数</w:t>
            </w:r>
          </w:p>
        </w:tc>
        <w:tc>
          <w:tcPr>
            <w:tcW w:w="1209" w:type="dxa"/>
            <w:noWrap w:val="0"/>
            <w:vAlign w:val="center"/>
          </w:tcPr>
          <w:p w14:paraId="62A198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500</w:t>
            </w:r>
          </w:p>
        </w:tc>
        <w:tc>
          <w:tcPr>
            <w:tcW w:w="1134" w:type="dxa"/>
            <w:noWrap w:val="0"/>
            <w:vAlign w:val="center"/>
          </w:tcPr>
          <w:p w14:paraId="107F9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28" w:type="dxa"/>
            <w:noWrap w:val="0"/>
            <w:vAlign w:val="center"/>
          </w:tcPr>
          <w:p w14:paraId="3F19FF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2B5C10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25" w:type="dxa"/>
            <w:noWrap w:val="0"/>
            <w:vAlign w:val="center"/>
          </w:tcPr>
          <w:p w14:paraId="31BA34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18"/>
                <w:szCs w:val="18"/>
                <w:lang w:val="en-US" w:eastAsia="zh-CN"/>
              </w:rPr>
              <w:t>单位主要负责人请病假半年后于5月不治身亡，单位人事变动频繁，单位人手少</w:t>
            </w:r>
          </w:p>
        </w:tc>
      </w:tr>
      <w:tr w14:paraId="62D53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F6ED3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8A749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60D02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499C6C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项目绩效目标达标率</w:t>
            </w:r>
          </w:p>
        </w:tc>
        <w:tc>
          <w:tcPr>
            <w:tcW w:w="1209" w:type="dxa"/>
            <w:noWrap w:val="0"/>
            <w:vAlign w:val="center"/>
          </w:tcPr>
          <w:p w14:paraId="391A60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134" w:type="dxa"/>
            <w:noWrap w:val="0"/>
            <w:vAlign w:val="center"/>
          </w:tcPr>
          <w:p w14:paraId="4AC5F2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28" w:type="dxa"/>
            <w:noWrap w:val="0"/>
            <w:vAlign w:val="center"/>
          </w:tcPr>
          <w:p w14:paraId="2504C3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9F425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25" w:type="dxa"/>
            <w:noWrap w:val="0"/>
            <w:vAlign w:val="center"/>
          </w:tcPr>
          <w:p w14:paraId="543603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E26C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1389F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F7AA8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74E60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5D99F5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完成及时率</w:t>
            </w:r>
          </w:p>
        </w:tc>
        <w:tc>
          <w:tcPr>
            <w:tcW w:w="1209" w:type="dxa"/>
            <w:noWrap w:val="0"/>
            <w:vAlign w:val="center"/>
          </w:tcPr>
          <w:p w14:paraId="5F9B6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年12月底</w:t>
            </w:r>
          </w:p>
        </w:tc>
        <w:tc>
          <w:tcPr>
            <w:tcW w:w="1134" w:type="dxa"/>
            <w:noWrap w:val="0"/>
            <w:vAlign w:val="center"/>
          </w:tcPr>
          <w:p w14:paraId="0178F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2024年</w:t>
            </w:r>
          </w:p>
        </w:tc>
        <w:tc>
          <w:tcPr>
            <w:tcW w:w="828" w:type="dxa"/>
            <w:noWrap w:val="0"/>
            <w:vAlign w:val="center"/>
          </w:tcPr>
          <w:p w14:paraId="7B79D9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751390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25" w:type="dxa"/>
            <w:noWrap w:val="0"/>
            <w:vAlign w:val="center"/>
          </w:tcPr>
          <w:p w14:paraId="08B88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项目没有按时间节点完成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AA1F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BC8E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2B3B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2E0A1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126EBB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1209" w:type="dxa"/>
            <w:noWrap w:val="0"/>
            <w:vAlign w:val="center"/>
          </w:tcPr>
          <w:p w14:paraId="788365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134" w:type="dxa"/>
            <w:noWrap w:val="0"/>
            <w:vAlign w:val="center"/>
          </w:tcPr>
          <w:p w14:paraId="0D3DE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9.4</w:t>
            </w:r>
          </w:p>
        </w:tc>
        <w:tc>
          <w:tcPr>
            <w:tcW w:w="828" w:type="dxa"/>
            <w:noWrap w:val="0"/>
            <w:vAlign w:val="center"/>
          </w:tcPr>
          <w:p w14:paraId="15F154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331C83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25" w:type="dxa"/>
            <w:noWrap w:val="0"/>
            <w:vAlign w:val="center"/>
          </w:tcPr>
          <w:p w14:paraId="605877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24BF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66911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7AF49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490F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noWrap w:val="0"/>
            <w:vAlign w:val="center"/>
          </w:tcPr>
          <w:p w14:paraId="6798BA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社会成本指标</w:t>
            </w:r>
          </w:p>
        </w:tc>
        <w:tc>
          <w:tcPr>
            <w:tcW w:w="1209" w:type="dxa"/>
            <w:noWrap w:val="0"/>
            <w:vAlign w:val="center"/>
          </w:tcPr>
          <w:p w14:paraId="3938A7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34" w:type="dxa"/>
            <w:noWrap w:val="0"/>
            <w:vAlign w:val="center"/>
          </w:tcPr>
          <w:p w14:paraId="65D62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28" w:type="dxa"/>
            <w:noWrap w:val="0"/>
            <w:vAlign w:val="center"/>
          </w:tcPr>
          <w:p w14:paraId="5B1A42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468C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25" w:type="dxa"/>
            <w:noWrap w:val="0"/>
            <w:vAlign w:val="center"/>
          </w:tcPr>
          <w:p w14:paraId="27620C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5A9E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A1284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D290C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2F9D2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noWrap w:val="0"/>
            <w:vAlign w:val="center"/>
          </w:tcPr>
          <w:p w14:paraId="0C370A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生态环境成本指标</w:t>
            </w:r>
          </w:p>
        </w:tc>
        <w:tc>
          <w:tcPr>
            <w:tcW w:w="1209" w:type="dxa"/>
            <w:noWrap w:val="0"/>
            <w:vAlign w:val="center"/>
          </w:tcPr>
          <w:p w14:paraId="237A3B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34" w:type="dxa"/>
            <w:noWrap w:val="0"/>
            <w:vAlign w:val="center"/>
          </w:tcPr>
          <w:p w14:paraId="0FDC45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28" w:type="dxa"/>
            <w:noWrap w:val="0"/>
            <w:vAlign w:val="center"/>
          </w:tcPr>
          <w:p w14:paraId="69FBE3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50B41D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25" w:type="dxa"/>
            <w:noWrap w:val="0"/>
            <w:vAlign w:val="center"/>
          </w:tcPr>
          <w:p w14:paraId="208B0C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6084C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3B7C0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1A8A64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0C4C17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31B1FD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7D74DF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6CF829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资金使用效益</w:t>
            </w:r>
          </w:p>
        </w:tc>
        <w:tc>
          <w:tcPr>
            <w:tcW w:w="1209" w:type="dxa"/>
            <w:noWrap w:val="0"/>
            <w:vAlign w:val="center"/>
          </w:tcPr>
          <w:p w14:paraId="60F774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52DA1B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27B6F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7883A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25" w:type="dxa"/>
            <w:noWrap w:val="0"/>
            <w:vAlign w:val="center"/>
          </w:tcPr>
          <w:p w14:paraId="3004E8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5990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269A7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CD257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BF26A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22E266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12E727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增强县域品牌形象</w:t>
            </w:r>
          </w:p>
        </w:tc>
        <w:tc>
          <w:tcPr>
            <w:tcW w:w="1209" w:type="dxa"/>
            <w:noWrap w:val="0"/>
            <w:vAlign w:val="center"/>
          </w:tcPr>
          <w:p w14:paraId="2FF27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01866C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72B9C5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1A3A96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25" w:type="dxa"/>
            <w:noWrap w:val="0"/>
            <w:vAlign w:val="center"/>
          </w:tcPr>
          <w:p w14:paraId="18726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EDF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5144B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308E6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C39DA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6F9A0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3DF427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生态效益情况</w:t>
            </w:r>
          </w:p>
        </w:tc>
        <w:tc>
          <w:tcPr>
            <w:tcW w:w="1209" w:type="dxa"/>
            <w:noWrap w:val="0"/>
            <w:vAlign w:val="center"/>
          </w:tcPr>
          <w:p w14:paraId="685D2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42755E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一般</w:t>
            </w:r>
          </w:p>
        </w:tc>
        <w:tc>
          <w:tcPr>
            <w:tcW w:w="828" w:type="dxa"/>
            <w:noWrap w:val="0"/>
            <w:vAlign w:val="center"/>
          </w:tcPr>
          <w:p w14:paraId="788DF2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748FCB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25" w:type="dxa"/>
            <w:noWrap w:val="0"/>
            <w:vAlign w:val="center"/>
          </w:tcPr>
          <w:p w14:paraId="50DB4B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部门履职与生态环境没有太多的相关性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0E74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1625E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3E834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491B4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55178E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可持续影响情况</w:t>
            </w:r>
          </w:p>
        </w:tc>
        <w:tc>
          <w:tcPr>
            <w:tcW w:w="1209" w:type="dxa"/>
            <w:noWrap w:val="0"/>
            <w:vAlign w:val="center"/>
          </w:tcPr>
          <w:p w14:paraId="29AB1D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3EB903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6A18FB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050FD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25" w:type="dxa"/>
            <w:noWrap w:val="0"/>
            <w:vAlign w:val="center"/>
          </w:tcPr>
          <w:p w14:paraId="364FDC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E671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40135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9AFC7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2064B6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09D94E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00D683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70B25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使用人员满意度</w:t>
            </w:r>
          </w:p>
        </w:tc>
        <w:tc>
          <w:tcPr>
            <w:tcW w:w="1209" w:type="dxa"/>
            <w:noWrap w:val="0"/>
            <w:vAlign w:val="center"/>
          </w:tcPr>
          <w:p w14:paraId="0086C1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134" w:type="dxa"/>
            <w:noWrap w:val="0"/>
            <w:vAlign w:val="center"/>
          </w:tcPr>
          <w:p w14:paraId="007EEB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828" w:type="dxa"/>
            <w:noWrap w:val="0"/>
            <w:vAlign w:val="center"/>
          </w:tcPr>
          <w:p w14:paraId="2D4E9B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02F7B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25" w:type="dxa"/>
            <w:noWrap w:val="0"/>
            <w:vAlign w:val="center"/>
          </w:tcPr>
          <w:p w14:paraId="2EEEB9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7CE99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72478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181FE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966" w:type="dxa"/>
            <w:noWrap w:val="0"/>
            <w:vAlign w:val="center"/>
          </w:tcPr>
          <w:p w14:paraId="5F6638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86.4</w:t>
            </w:r>
          </w:p>
        </w:tc>
        <w:tc>
          <w:tcPr>
            <w:tcW w:w="1325" w:type="dxa"/>
            <w:noWrap w:val="0"/>
            <w:vAlign w:val="center"/>
          </w:tcPr>
          <w:p w14:paraId="6C0725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</w:tbl>
    <w:p w14:paraId="77EEA3FF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0"/>
          <w:szCs w:val="20"/>
        </w:rPr>
        <w:sectPr>
          <w:footerReference r:id="rId3" w:type="default"/>
          <w:pgSz w:w="11906" w:h="16838"/>
          <w:pgMar w:top="2041" w:right="1531" w:bottom="1757" w:left="1531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张秦萁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2024.8.26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137875073</w:t>
      </w:r>
    </w:p>
    <w:p w14:paraId="52C575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DE7B2D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25488B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325488B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4D8AB1"/>
    <w:multiLevelType w:val="singleLevel"/>
    <w:tmpl w:val="DA4D8AB1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D1B29C3"/>
    <w:multiLevelType w:val="singleLevel"/>
    <w:tmpl w:val="3D1B29C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5B1F5BC"/>
    <w:multiLevelType w:val="singleLevel"/>
    <w:tmpl w:val="45B1F5BC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664DD2CC"/>
    <w:multiLevelType w:val="singleLevel"/>
    <w:tmpl w:val="664DD2C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1ODYwMGMyMDc1ZDY5MDc1NDU3ZDVjYTU4MTllZTIifQ=="/>
  </w:docVars>
  <w:rsids>
    <w:rsidRoot w:val="16D0010A"/>
    <w:rsid w:val="0B594BB5"/>
    <w:rsid w:val="0E8E1971"/>
    <w:rsid w:val="0FEC2BEE"/>
    <w:rsid w:val="1063251C"/>
    <w:rsid w:val="13CC72B8"/>
    <w:rsid w:val="16D0010A"/>
    <w:rsid w:val="19742EFF"/>
    <w:rsid w:val="19E74013"/>
    <w:rsid w:val="1A573951"/>
    <w:rsid w:val="20474C5B"/>
    <w:rsid w:val="24A86DA8"/>
    <w:rsid w:val="254B4CDF"/>
    <w:rsid w:val="2AE20166"/>
    <w:rsid w:val="2D8A1346"/>
    <w:rsid w:val="32BF68D3"/>
    <w:rsid w:val="372C6501"/>
    <w:rsid w:val="3862159D"/>
    <w:rsid w:val="3A6839E8"/>
    <w:rsid w:val="3BAD3189"/>
    <w:rsid w:val="416E2370"/>
    <w:rsid w:val="41C81EFA"/>
    <w:rsid w:val="44733D16"/>
    <w:rsid w:val="4EDC5E06"/>
    <w:rsid w:val="558452A2"/>
    <w:rsid w:val="5C3F55E3"/>
    <w:rsid w:val="5DC875A5"/>
    <w:rsid w:val="653E0A34"/>
    <w:rsid w:val="66C36496"/>
    <w:rsid w:val="6ACE6451"/>
    <w:rsid w:val="6B5719CE"/>
    <w:rsid w:val="6F540AA2"/>
    <w:rsid w:val="6F6C3363"/>
    <w:rsid w:val="6FA23D7D"/>
    <w:rsid w:val="701777D0"/>
    <w:rsid w:val="78C64F77"/>
    <w:rsid w:val="7FFF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"/>
    <w:basedOn w:val="2"/>
    <w:qFormat/>
    <w:uiPriority w:val="0"/>
    <w:pPr>
      <w:ind w:firstLine="664"/>
    </w:pPr>
    <w:rPr>
      <w:rFonts w:ascii="Calibri" w:hAnsi="Calibri"/>
    </w:rPr>
  </w:style>
  <w:style w:type="paragraph" w:styleId="7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  <w:style w:type="paragraph" w:customStyle="1" w:styleId="10">
    <w:name w:val="p0"/>
    <w:basedOn w:val="1"/>
    <w:qFormat/>
    <w:uiPriority w:val="0"/>
    <w:pPr>
      <w:widowControl/>
      <w:spacing w:line="365" w:lineRule="atLeast"/>
      <w:ind w:left="1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3588</Words>
  <Characters>3742</Characters>
  <Lines>0</Lines>
  <Paragraphs>0</Paragraphs>
  <TotalTime>0</TotalTime>
  <ScaleCrop>false</ScaleCrop>
  <LinksUpToDate>false</LinksUpToDate>
  <CharactersWithSpaces>3798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2024-09-05T07:18:00Z</dcterms:created>
  <dc:creator>张秦萁</dc:creator>
  <cp:lastModifiedBy>张秦萁</cp:lastModifiedBy>
  <dcterms:modified xsi:type="dcterms:W3CDTF">2024-09-10T01:49:33Z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D2F551731D0B4450B92B4B863924B495_11</vt:lpwstr>
  </property>
</Properties>
</file>