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2B6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附件1-1 </w:t>
      </w:r>
    </w:p>
    <w:p w14:paraId="0A5F7E01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1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部门整体支出绩效评价基础数据表</w:t>
      </w:r>
    </w:p>
    <w:p w14:paraId="09BC99DF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default" w:eastAsia="仿宋_GB2312"/>
          <w:kern w:val="0"/>
          <w:sz w:val="24"/>
          <w:lang w:val="en-US" w:eastAsia="zh-CN"/>
        </w:rPr>
      </w:pPr>
      <w:r>
        <w:rPr>
          <w:rFonts w:hint="eastAsia" w:eastAsia="仿宋_GB2312"/>
          <w:kern w:val="0"/>
          <w:sz w:val="24"/>
          <w:lang w:val="en-US" w:eastAsia="zh-CN"/>
        </w:rPr>
        <w:t xml:space="preserve">填报单位：                                        </w:t>
      </w:r>
    </w:p>
    <w:tbl>
      <w:tblPr>
        <w:tblStyle w:val="4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14:paraId="7219D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5B7BFAA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AE350C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02BBF1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年实际在职人数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2E2F0C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控制率</w:t>
            </w:r>
          </w:p>
        </w:tc>
      </w:tr>
      <w:tr w14:paraId="49179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29AD52C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2214303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FBD7C3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EEF6D2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93%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391C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03C8122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0A0FD7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754AEB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年预算数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28C7F2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</w:tr>
      <w:tr w14:paraId="42267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FB5628C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EBD70D9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22.01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B9B3EB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30.1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56749C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27.92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7F39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35D8D2B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083F5E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EF8D78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77C3FD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7367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1BE989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6CFF4C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B78516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564D74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F2F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945FE86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BD01FA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21.1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F6534B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26.2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8F9062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26.15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355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CCC8BCB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1295DB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9884D5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EA2F21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F726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CE6E51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D39C77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0.91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B6B8EA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3.9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6E49F45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1.77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13E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39BEF29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6EAF25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538.24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9AD95F3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6DF1220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636.34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6EFFE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9BA0C4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93A8AE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538.24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0BA0324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229E92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636.34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2CB9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7FE8F70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929300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E1DB7D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7C124E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E259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noWrap w:val="0"/>
            <w:vAlign w:val="center"/>
          </w:tcPr>
          <w:p w14:paraId="44001520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3、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市级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专项资金</w:t>
            </w:r>
          </w:p>
          <w:p w14:paraId="2F7937AE">
            <w:pPr>
              <w:widowControl/>
              <w:ind w:firstLine="600" w:firstLineChars="3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9C1C88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1400A75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3F4938B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7A5B8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FB91073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694762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C5F826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BACF5B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6419F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noWrap w:val="0"/>
            <w:vAlign w:val="center"/>
          </w:tcPr>
          <w:p w14:paraId="737CFD7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411AF5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7D972E5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312CC34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69088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7C60B35A"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公用经费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6DAAE1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136.41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D10DE1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113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234DA9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267.75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6E4E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D4B34FC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87EADD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6.9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8F81080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0CC0CA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14.72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5D71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0A05927B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3EDAA5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11.51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870C55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33B52D3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24.34</w:t>
            </w:r>
          </w:p>
        </w:tc>
      </w:tr>
      <w:tr w14:paraId="2AB18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noWrap w:val="0"/>
            <w:vAlign w:val="center"/>
          </w:tcPr>
          <w:p w14:paraId="7900A93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23376BE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2.68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BB4544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0.5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BE4D40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0.147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2AEE8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635E1EC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E97628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E4875F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870993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604B0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EDDB09B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F6357C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0E691D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E6CC9E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75A0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0375D82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noWrap w:val="0"/>
            <w:vAlign w:val="center"/>
          </w:tcPr>
          <w:p w14:paraId="4EBF2F3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noWrap w:val="0"/>
            <w:vAlign w:val="center"/>
          </w:tcPr>
          <w:p w14:paraId="327BBF7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noWrap w:val="0"/>
            <w:vAlign w:val="center"/>
          </w:tcPr>
          <w:p w14:paraId="605D94B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noWrap w:val="0"/>
            <w:vAlign w:val="center"/>
          </w:tcPr>
          <w:p w14:paraId="0E97E66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noWrap w:val="0"/>
            <w:vAlign w:val="center"/>
          </w:tcPr>
          <w:p w14:paraId="460B5CD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noWrap w:val="0"/>
            <w:vAlign w:val="center"/>
          </w:tcPr>
          <w:p w14:paraId="37AD2A07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投资概算控制率</w:t>
            </w:r>
          </w:p>
        </w:tc>
      </w:tr>
      <w:tr w14:paraId="3A92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37A54FB2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0F5656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noWrap w:val="0"/>
            <w:vAlign w:val="center"/>
          </w:tcPr>
          <w:p w14:paraId="66DC199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noWrap w:val="0"/>
            <w:vAlign w:val="center"/>
          </w:tcPr>
          <w:p w14:paraId="07A2642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noWrap w:val="0"/>
            <w:vAlign w:val="center"/>
          </w:tcPr>
          <w:p w14:paraId="637AAC2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9" w:type="dxa"/>
            <w:noWrap w:val="0"/>
            <w:vAlign w:val="center"/>
          </w:tcPr>
          <w:p w14:paraId="6DC26AB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3" w:type="dxa"/>
            <w:noWrap w:val="0"/>
            <w:vAlign w:val="center"/>
          </w:tcPr>
          <w:p w14:paraId="6F262FBD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39B70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noWrap w:val="0"/>
            <w:vAlign w:val="center"/>
          </w:tcPr>
          <w:p w14:paraId="7F60A27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noWrap w:val="0"/>
            <w:vAlign w:val="center"/>
          </w:tcPr>
          <w:p w14:paraId="463B847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</w:tbl>
    <w:p w14:paraId="2B75F745">
      <w:pPr>
        <w:pStyle w:val="6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/>
          <w:lang w:val="en-US" w:eastAsia="zh-CN"/>
        </w:rPr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 w14:paraId="2BCF888B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1B9B5441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</w:p>
    <w:p w14:paraId="746D381E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</w:p>
    <w:p w14:paraId="17A28B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0B736DA">
      <w:pPr>
        <w:jc w:val="center"/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  <w:t>会同县城市管理和综合执法局</w:t>
      </w:r>
    </w:p>
    <w:p w14:paraId="1CABE9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部门整体支出绩效自评报告</w:t>
      </w:r>
    </w:p>
    <w:p w14:paraId="054492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656BF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一、部门、单位基本情况</w:t>
      </w:r>
    </w:p>
    <w:p w14:paraId="4DB2644E">
      <w:pPr>
        <w:autoSpaceDN w:val="0"/>
        <w:spacing w:line="560" w:lineRule="exact"/>
        <w:ind w:firstLine="548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机构设置情况</w:t>
      </w:r>
    </w:p>
    <w:p w14:paraId="145008C6">
      <w:pPr>
        <w:autoSpaceDN w:val="0"/>
        <w:spacing w:line="560" w:lineRule="exact"/>
        <w:ind w:firstLine="64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本单位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设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有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办公室（人事股）、行政审批服务股（法治股）、财务装备股、公用事业管理股、园林绿化管理股、城市管理行政执法大队，二级机构（城市管理事务中心、市场服务中心）。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执法车辆1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台，园林绿化洒水车1台，市政设施维修工具车3台，执法车辆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台，机关用车1台</w:t>
      </w:r>
      <w:r>
        <w:rPr>
          <w:rFonts w:hint="eastAsia" w:asciiTheme="minorEastAsia" w:hAnsiTheme="minorEastAsia" w:eastAsiaTheme="minorEastAsia" w:cstheme="minorEastAsia"/>
          <w:color w:val="333333"/>
          <w:sz w:val="32"/>
          <w:szCs w:val="32"/>
        </w:rPr>
        <w:t>。</w:t>
      </w:r>
    </w:p>
    <w:p w14:paraId="3AB980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人员编制情况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实有在编在岗人员9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人，（其中；行政编制人员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个，全额拨款事业编制8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个）。退休人员1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人。</w:t>
      </w:r>
    </w:p>
    <w:p w14:paraId="2AC9F8DD">
      <w:pPr>
        <w:widowControl/>
        <w:spacing w:line="600" w:lineRule="exact"/>
        <w:ind w:firstLine="548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主要职能职责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1.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贯彻执行国家有关城市管理行政执法方面的法律，法规和方针政策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负责对全县城市管理行政执法工作的统一领导，综合协调和监督检查，组织业务培训及业务考试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。完成县委、县政府交办的其他任务。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主要工作及目标是：（一）行使县城规划区内临时占道和挖掘城市道路及公共场地，户外广告的设置。（二）园林绿化行道树的养护和修剪，沿河风光带的养护管理。（三）城市市容市貌,门店出店经营日常管理。（四）渣土扬尘污染，渣土运输的规范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 w14:paraId="490475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（四）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绩效目标设定情况</w:t>
      </w:r>
    </w:p>
    <w:p w14:paraId="15C39CF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二、部门整体支出管理及使用情况</w:t>
      </w:r>
    </w:p>
    <w:p w14:paraId="27B68D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预算执行、使用、管理总体情况。</w:t>
      </w:r>
    </w:p>
    <w:p w14:paraId="0735C6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县城市管理和综合执法局局认真履行部门“三定”方案确定的职责。没有存在截留、挤占、挪用、虚列支出等情况；基础数据信息和会计信息资料真实、完整、准确。并按规定内容公开预、决算信息。</w:t>
      </w:r>
    </w:p>
    <w:p w14:paraId="363777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部门预算执行情况</w:t>
      </w:r>
    </w:p>
    <w:p w14:paraId="196297C7">
      <w:pPr>
        <w:spacing w:line="56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1.基本支出情况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年实现收入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2315.10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实际支出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2315.10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万元。</w:t>
      </w:r>
    </w:p>
    <w:p w14:paraId="11E97EA9">
      <w:pPr>
        <w:spacing w:line="560" w:lineRule="exact"/>
        <w:ind w:firstLine="64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2.项目支出情况</w:t>
      </w:r>
    </w:p>
    <w:p w14:paraId="4D494803">
      <w:pPr>
        <w:spacing w:line="560" w:lineRule="exact"/>
        <w:ind w:firstLine="643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收入方面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：本单位全年收入为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2315.10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万元。</w:t>
      </w:r>
    </w:p>
    <w:p w14:paraId="3B618A79">
      <w:pPr>
        <w:spacing w:line="56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1．县本级年初预算拨款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1220.29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万元，（其中；项目经费预算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98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万元）。</w:t>
      </w:r>
    </w:p>
    <w:p w14:paraId="7CC64804">
      <w:pPr>
        <w:spacing w:line="56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2．县本级年中预算调整收入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1094.81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万元。（其中；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其他城乡社区管理事务支出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预算调整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958.87万元、社会保障和就业支出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预算调整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119.85万元、节能环保支出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预算调整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16.09万元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）。</w:t>
      </w:r>
    </w:p>
    <w:p w14:paraId="17C25A99">
      <w:pPr>
        <w:autoSpaceDE w:val="0"/>
        <w:autoSpaceDN w:val="0"/>
        <w:adjustRightInd w:val="0"/>
        <w:spacing w:line="520" w:lineRule="exact"/>
        <w:ind w:firstLine="64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支出方面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：全年实际支出为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2075.55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万元。</w:t>
      </w:r>
    </w:p>
    <w:p w14:paraId="6CFEC321">
      <w:pPr>
        <w:autoSpaceDE w:val="0"/>
        <w:autoSpaceDN w:val="0"/>
        <w:adjustRightInd w:val="0"/>
        <w:spacing w:line="520" w:lineRule="exact"/>
        <w:ind w:firstLine="64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（一）基本支出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1122.29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万元，其中预算调整收入支出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953.26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万元。</w:t>
      </w:r>
    </w:p>
    <w:p w14:paraId="1C4CC81F">
      <w:pPr>
        <w:autoSpaceDE w:val="0"/>
        <w:autoSpaceDN w:val="0"/>
        <w:adjustRightInd w:val="0"/>
        <w:spacing w:line="520" w:lineRule="exact"/>
        <w:ind w:firstLine="64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1.工资福利支出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1065.87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元、（其中；基本工资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441.10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万元，津贴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311.73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万元，奖金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34.34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元，伙食补助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47.18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，绩效工资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10万元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，养老保险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136.91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职业年金缴费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1.6万元，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职工医疗保险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51.64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万元，其他社会保障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11.19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住房公积金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9.05万元，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其他工资福利支出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11.13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万元）。</w:t>
      </w:r>
    </w:p>
    <w:p w14:paraId="0E6014F4">
      <w:pPr>
        <w:autoSpaceDE w:val="0"/>
        <w:autoSpaceDN w:val="0"/>
        <w:adjustRightInd w:val="0"/>
        <w:spacing w:line="520" w:lineRule="exact"/>
        <w:ind w:firstLine="64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2．商品服务支出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238.09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万元、（其中；办公费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14.72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印刷费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1.93万元，咨询费0.15万元，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水费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0.38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万元，电费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6.24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万元，邮电费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0.24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物业管理费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2.58万元，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差旅费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17.73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万元，维修费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16.29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万元，培训费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0.15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万元，劳务费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12.04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万元，工会经费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96.45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万元，公务接待费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1.77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万元，公务用车运行维护费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17.28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万元，其他交通费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2.17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税金及附加费用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2.62万元、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其他商品和服务支出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45.36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万元）。</w:t>
      </w:r>
    </w:p>
    <w:p w14:paraId="010D2324">
      <w:pPr>
        <w:autoSpaceDE w:val="0"/>
        <w:autoSpaceDN w:val="0"/>
        <w:adjustRightInd w:val="0"/>
        <w:spacing w:line="520" w:lineRule="exact"/>
        <w:ind w:firstLine="64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3.对个人和家庭的补助支出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38.85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万元，（其中；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抚恤金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24.09万元、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遗嘱生活补助金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7.84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万元，奖励金0.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86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，其他对个人和家庭的补助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6.06万元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）。</w:t>
      </w:r>
    </w:p>
    <w:p w14:paraId="18E0259B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64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项目支出情况</w:t>
      </w:r>
    </w:p>
    <w:p w14:paraId="1F2FB0FD"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1.县本级项目支出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98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万元。</w:t>
      </w:r>
    </w:p>
    <w:p w14:paraId="4C095C49"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(1)园林绿化养护经费50万元。（①休闲广场补（修）栽苗木工程8万元；②绿化多功能河水车运行经费8万元，③购买肥料，药物等3万元；④街道，行道树和沿河风光带的养护经费11万元,天马山公园的管理20万元）。</w:t>
      </w:r>
    </w:p>
    <w:p w14:paraId="266227A4"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（2）市容市貌的整治经费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万元。（其中；①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渣土运输污染管理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1万元、②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城市路灯的亮化管理与日常维护维修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万元,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③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市政设施的维护与维修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万元,④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南片区和北片区市容市貌占道经营整治经费5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万元）。</w:t>
      </w:r>
    </w:p>
    <w:p w14:paraId="0CCA3A15">
      <w:pPr>
        <w:spacing w:line="560" w:lineRule="exact"/>
        <w:ind w:firstLine="645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（3）控违办日常运转和整治经费支出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16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万元。（其中；①违规建筑物拆除的劳务开支费用1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万元，②外单位抽调人员的工作经费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万元，共计费用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16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万元）。</w:t>
      </w:r>
    </w:p>
    <w:p w14:paraId="33681B19">
      <w:pPr>
        <w:spacing w:line="56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(4)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经常性补助支出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24万元。（其中：3人自收自支工资18万元，养老保险，医疗保险，住房公积金等6万元）。</w:t>
      </w:r>
    </w:p>
    <w:p w14:paraId="7EA5C078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"三公"经费使用和管理情况</w:t>
      </w:r>
    </w:p>
    <w:p w14:paraId="1BA639D4">
      <w:pPr>
        <w:autoSpaceDE w:val="0"/>
        <w:autoSpaceDN w:val="0"/>
        <w:adjustRightInd w:val="0"/>
        <w:spacing w:line="520" w:lineRule="exact"/>
        <w:ind w:firstLine="64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年“三公”经费预算总额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30.1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比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年度“三公”经费预算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增加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4.9万元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公务接待费预算安排3.9万元，实际支出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1.77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万元，公务接待占年初预算安排数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45.38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%；公务运行维护费年初预算安排数2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6.2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万元，实际支出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26.15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万元，公务运行维护费年初预算安排数100%。</w:t>
      </w:r>
    </w:p>
    <w:p w14:paraId="01B6B7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三、政府性基金预算支出情况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：无</w:t>
      </w:r>
    </w:p>
    <w:p w14:paraId="5B3242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四、国有资本经营预算支出情况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：无</w:t>
      </w:r>
    </w:p>
    <w:p w14:paraId="14C76AF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五、社会保险基金预算支出情况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：无</w:t>
      </w:r>
    </w:p>
    <w:p w14:paraId="3EA0C7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六、部门整体支出绩效情况</w:t>
      </w:r>
    </w:p>
    <w:p w14:paraId="4A83B832">
      <w:pPr>
        <w:shd w:val="clear" w:color="auto" w:fill="FFFFFF"/>
        <w:ind w:firstLine="548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综合评价结论。反映自评得分及评价等级。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经自评，项目已基本按照预算内容支出，达到预期绩效目标。根据对绩效评价共性指标体系自检自评结果统计：202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年我局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整体支出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项目绩效自评为“优”。</w:t>
      </w:r>
    </w:p>
    <w:p w14:paraId="45BC784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</w:p>
    <w:p w14:paraId="2E8263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评价指标分析（或综合评价情况）。围绕部门职责、行业发展规划，以预算资金管理为主线，从整体绩效目标设定、预算配置、预算执行、预算管理、资产管理、职责履行、履职效益等方面综合分析。总结归纳本部门"四本预算"支出的绩效目标完成情况，实现产出和取得效益的情况。</w:t>
      </w:r>
    </w:p>
    <w:p w14:paraId="3BA255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七、存在的问题及原因分析</w:t>
      </w:r>
    </w:p>
    <w:p w14:paraId="3061C357">
      <w:pPr>
        <w:numPr>
          <w:ilvl w:val="0"/>
          <w:numId w:val="3"/>
        </w:numPr>
        <w:ind w:firstLine="64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主要反映各种预算支出执行偏离绩效目标的情况，并分析其原因。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预算执行要合理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计划资金使用，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财务规范需要加强、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厉行节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约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确保资金支出不突破预算。</w:t>
      </w:r>
    </w:p>
    <w:p w14:paraId="37F7E63D">
      <w:pPr>
        <w:numPr>
          <w:ilvl w:val="0"/>
          <w:numId w:val="4"/>
        </w:numPr>
        <w:ind w:firstLine="64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下一步改进措施</w:t>
      </w:r>
    </w:p>
    <w:p w14:paraId="0301087E">
      <w:pPr>
        <w:numPr>
          <w:ilvl w:val="0"/>
          <w:numId w:val="3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加强预算和专户管理。根据县财政局部门预算编制的相关要求，结合本单位事业任务和服务规模，在保工资、保运转和规范城市管理工作的基础上，科学地做好部门预算编报工作。预算执行时，坚持分月编制资金使用计划，确保资金支出不突破预算。</w:t>
      </w:r>
    </w:p>
    <w:p w14:paraId="41949F96">
      <w:pPr>
        <w:numPr>
          <w:ilvl w:val="0"/>
          <w:numId w:val="3"/>
        </w:numPr>
        <w:ind w:left="0" w:leftChars="0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规范财务管理。一是认真做好了会计核算工作，完成了日常财务报销、工资以及各项费用的支出。二是认真执行《会计法》《预算法》，进一步加强了对财务人员财务基础工作的指导，规范了记账凭证的编制，严格了原始凭证的审核，强化了会计档案的管理等。三是加强内、外部的沟通。进一步协调了和财政、审计、税务等业务部门的关系。四是合理调度资金，保证了全局事业发展的需要。</w:t>
      </w:r>
    </w:p>
    <w:p w14:paraId="2FFB1F30">
      <w:pPr>
        <w:numPr>
          <w:ilvl w:val="0"/>
          <w:numId w:val="3"/>
        </w:numPr>
        <w:ind w:left="0" w:leftChars="0" w:firstLine="64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加强管理厉行节支。结合我局实际情况，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进一步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完善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公务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接</w:t>
      </w:r>
      <w:r>
        <w:rPr>
          <w:rFonts w:hint="eastAsia" w:asciiTheme="minorEastAsia" w:hAnsiTheme="minorEastAsia" w:eastAsiaTheme="minorEastAsia" w:cstheme="minorEastAsia"/>
          <w:spacing w:val="-20"/>
          <w:sz w:val="32"/>
          <w:szCs w:val="32"/>
        </w:rPr>
        <w:t>待、出差、会议、培训等制度和审批程序，规范公务支出行为。</w:t>
      </w:r>
    </w:p>
    <w:p w14:paraId="2BC886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九、其他需要说明的情况</w:t>
      </w:r>
    </w:p>
    <w:p w14:paraId="60DEED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无</w:t>
      </w:r>
    </w:p>
    <w:p w14:paraId="17A13F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11671FE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6934328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5DCE0B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6B7A45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26E289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1841AEE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附件1-2</w:t>
      </w:r>
    </w:p>
    <w:p w14:paraId="6BD2E5A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  <w:t>整体支出绩效自评表</w:t>
      </w:r>
    </w:p>
    <w:tbl>
      <w:tblPr>
        <w:tblStyle w:val="4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69"/>
        <w:gridCol w:w="1119"/>
        <w:gridCol w:w="993"/>
        <w:gridCol w:w="94"/>
        <w:gridCol w:w="1192"/>
        <w:gridCol w:w="1127"/>
        <w:gridCol w:w="707"/>
        <w:gridCol w:w="516"/>
        <w:gridCol w:w="1183"/>
      </w:tblGrid>
      <w:tr w14:paraId="6D82D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62" w:type="dxa"/>
            <w:noWrap w:val="0"/>
            <w:vAlign w:val="center"/>
          </w:tcPr>
          <w:p w14:paraId="0F28E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8100" w:type="dxa"/>
            <w:gridSpan w:val="9"/>
            <w:noWrap w:val="0"/>
            <w:vAlign w:val="center"/>
          </w:tcPr>
          <w:p w14:paraId="7F421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会同县城市管理和综合执法局　</w:t>
            </w:r>
          </w:p>
        </w:tc>
      </w:tr>
      <w:tr w14:paraId="0662E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62" w:type="dxa"/>
            <w:vMerge w:val="restart"/>
            <w:noWrap w:val="0"/>
            <w:vAlign w:val="center"/>
          </w:tcPr>
          <w:p w14:paraId="11E7D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年度预</w:t>
            </w:r>
          </w:p>
          <w:p w14:paraId="597B1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88" w:type="dxa"/>
            <w:gridSpan w:val="2"/>
            <w:noWrap w:val="0"/>
            <w:vAlign w:val="center"/>
          </w:tcPr>
          <w:p w14:paraId="17736B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3CF8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年初</w:t>
            </w:r>
          </w:p>
          <w:p w14:paraId="00EE8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预算数</w:t>
            </w:r>
          </w:p>
        </w:tc>
        <w:tc>
          <w:tcPr>
            <w:tcW w:w="1286" w:type="dxa"/>
            <w:gridSpan w:val="2"/>
            <w:noWrap w:val="0"/>
            <w:vAlign w:val="center"/>
          </w:tcPr>
          <w:p w14:paraId="653F6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全年预算数</w:t>
            </w:r>
          </w:p>
        </w:tc>
        <w:tc>
          <w:tcPr>
            <w:tcW w:w="1127" w:type="dxa"/>
            <w:noWrap w:val="0"/>
            <w:vAlign w:val="center"/>
          </w:tcPr>
          <w:p w14:paraId="4703B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72474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707" w:type="dxa"/>
            <w:noWrap w:val="0"/>
            <w:vAlign w:val="center"/>
          </w:tcPr>
          <w:p w14:paraId="1F3BE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516" w:type="dxa"/>
            <w:noWrap w:val="0"/>
            <w:vAlign w:val="center"/>
          </w:tcPr>
          <w:p w14:paraId="5BC57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183" w:type="dxa"/>
            <w:noWrap w:val="0"/>
            <w:vAlign w:val="center"/>
          </w:tcPr>
          <w:p w14:paraId="35352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519CE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23371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8" w:type="dxa"/>
            <w:gridSpan w:val="2"/>
            <w:noWrap w:val="0"/>
            <w:vAlign w:val="center"/>
          </w:tcPr>
          <w:p w14:paraId="2CA75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93" w:type="dxa"/>
            <w:noWrap w:val="0"/>
            <w:vAlign w:val="center"/>
          </w:tcPr>
          <w:p w14:paraId="7DB87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1220</w:t>
            </w:r>
          </w:p>
        </w:tc>
        <w:tc>
          <w:tcPr>
            <w:tcW w:w="1286" w:type="dxa"/>
            <w:gridSpan w:val="2"/>
            <w:noWrap w:val="0"/>
            <w:vAlign w:val="center"/>
          </w:tcPr>
          <w:p w14:paraId="215C1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1220</w:t>
            </w:r>
          </w:p>
        </w:tc>
        <w:tc>
          <w:tcPr>
            <w:tcW w:w="1127" w:type="dxa"/>
            <w:noWrap w:val="0"/>
            <w:vAlign w:val="center"/>
          </w:tcPr>
          <w:p w14:paraId="00A7D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1220</w:t>
            </w:r>
          </w:p>
        </w:tc>
        <w:tc>
          <w:tcPr>
            <w:tcW w:w="707" w:type="dxa"/>
            <w:noWrap w:val="0"/>
            <w:vAlign w:val="center"/>
          </w:tcPr>
          <w:p w14:paraId="5F8AB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516" w:type="dxa"/>
            <w:noWrap w:val="0"/>
            <w:vAlign w:val="center"/>
          </w:tcPr>
          <w:p w14:paraId="6E928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183" w:type="dxa"/>
            <w:noWrap w:val="0"/>
            <w:vAlign w:val="center"/>
          </w:tcPr>
          <w:p w14:paraId="246DB5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</w:t>
            </w:r>
          </w:p>
        </w:tc>
      </w:tr>
      <w:tr w14:paraId="34411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43192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noWrap w:val="0"/>
            <w:vAlign w:val="center"/>
          </w:tcPr>
          <w:p w14:paraId="3273A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按收入性质分：</w:t>
            </w:r>
          </w:p>
        </w:tc>
        <w:tc>
          <w:tcPr>
            <w:tcW w:w="3533" w:type="dxa"/>
            <w:gridSpan w:val="4"/>
            <w:noWrap w:val="0"/>
            <w:vAlign w:val="center"/>
          </w:tcPr>
          <w:p w14:paraId="52496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按支出性质分：</w:t>
            </w:r>
          </w:p>
        </w:tc>
      </w:tr>
      <w:tr w14:paraId="2027E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7C819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noWrap w:val="0"/>
            <w:vAlign w:val="center"/>
          </w:tcPr>
          <w:p w14:paraId="66E19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1220</w:t>
            </w:r>
          </w:p>
        </w:tc>
        <w:tc>
          <w:tcPr>
            <w:tcW w:w="3533" w:type="dxa"/>
            <w:gridSpan w:val="4"/>
            <w:noWrap w:val="0"/>
            <w:vAlign w:val="center"/>
          </w:tcPr>
          <w:p w14:paraId="376E8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其中：基本支出：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1122</w:t>
            </w:r>
          </w:p>
        </w:tc>
      </w:tr>
      <w:tr w14:paraId="4BA19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0E77C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noWrap w:val="0"/>
            <w:vAlign w:val="center"/>
          </w:tcPr>
          <w:p w14:paraId="1E43E5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800" w:firstLineChars="4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政府性基金拨款：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3533" w:type="dxa"/>
            <w:gridSpan w:val="4"/>
            <w:noWrap w:val="0"/>
            <w:vAlign w:val="center"/>
          </w:tcPr>
          <w:p w14:paraId="3FAC7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</w:tr>
      <w:tr w14:paraId="21BD1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5C12A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noWrap w:val="0"/>
            <w:vAlign w:val="center"/>
          </w:tcPr>
          <w:p w14:paraId="3F4D1B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3533" w:type="dxa"/>
            <w:gridSpan w:val="4"/>
            <w:noWrap w:val="0"/>
            <w:vAlign w:val="center"/>
          </w:tcPr>
          <w:p w14:paraId="63B70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4827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58C1B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noWrap w:val="0"/>
            <w:vAlign w:val="center"/>
          </w:tcPr>
          <w:p w14:paraId="70C04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400" w:firstLineChars="7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其他资金：</w:t>
            </w:r>
          </w:p>
        </w:tc>
        <w:tc>
          <w:tcPr>
            <w:tcW w:w="3533" w:type="dxa"/>
            <w:gridSpan w:val="4"/>
            <w:noWrap w:val="0"/>
            <w:vAlign w:val="center"/>
          </w:tcPr>
          <w:p w14:paraId="342D4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B0A4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restart"/>
            <w:noWrap w:val="0"/>
            <w:vAlign w:val="center"/>
          </w:tcPr>
          <w:p w14:paraId="3A294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67" w:type="dxa"/>
            <w:gridSpan w:val="5"/>
            <w:noWrap w:val="0"/>
            <w:vAlign w:val="center"/>
          </w:tcPr>
          <w:p w14:paraId="4301A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533" w:type="dxa"/>
            <w:gridSpan w:val="4"/>
            <w:noWrap w:val="0"/>
            <w:vAlign w:val="center"/>
          </w:tcPr>
          <w:p w14:paraId="2D83B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108F9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2CBB8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noWrap w:val="0"/>
            <w:vAlign w:val="center"/>
          </w:tcPr>
          <w:p w14:paraId="1CFB5D6B">
            <w:pPr>
              <w:keepNext w:val="0"/>
              <w:keepLines w:val="0"/>
              <w:pageBreakBefore w:val="0"/>
              <w:widowControl/>
              <w:tabs>
                <w:tab w:val="left" w:pos="1052"/>
                <w:tab w:val="center" w:pos="2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根据《城市市容市貌环境卫生管理条例》和创省文明城市具体工作的管理要求,改善市容市貌与市民购物环境，提升城市品味，方便市民生活，构建和谐社会。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3533" w:type="dxa"/>
            <w:gridSpan w:val="4"/>
            <w:noWrap w:val="0"/>
            <w:vAlign w:val="center"/>
          </w:tcPr>
          <w:p w14:paraId="647AD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根据《城市市容市貌环境卫生管理条例》和创省文明城市具体工作的管理要求,改善市容市貌与市民购物环境，提升城市品味，方便市民生活，构建和谐社会。</w:t>
            </w:r>
          </w:p>
        </w:tc>
      </w:tr>
      <w:tr w14:paraId="69A9D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62" w:type="dxa"/>
            <w:vMerge w:val="restart"/>
            <w:noWrap w:val="0"/>
            <w:vAlign w:val="center"/>
          </w:tcPr>
          <w:p w14:paraId="65B92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04AF1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59D2B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17304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169" w:type="dxa"/>
            <w:noWrap w:val="0"/>
            <w:vAlign w:val="center"/>
          </w:tcPr>
          <w:p w14:paraId="78793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19" w:type="dxa"/>
            <w:noWrap w:val="0"/>
            <w:vAlign w:val="center"/>
          </w:tcPr>
          <w:p w14:paraId="2838A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87" w:type="dxa"/>
            <w:gridSpan w:val="2"/>
            <w:noWrap w:val="0"/>
            <w:vAlign w:val="center"/>
          </w:tcPr>
          <w:p w14:paraId="6AD88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92" w:type="dxa"/>
            <w:noWrap w:val="0"/>
            <w:vAlign w:val="center"/>
          </w:tcPr>
          <w:p w14:paraId="2A881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6CB47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27" w:type="dxa"/>
            <w:noWrap w:val="0"/>
            <w:vAlign w:val="center"/>
          </w:tcPr>
          <w:p w14:paraId="2E9BE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63A70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707" w:type="dxa"/>
            <w:noWrap w:val="0"/>
            <w:vAlign w:val="center"/>
          </w:tcPr>
          <w:p w14:paraId="0830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16" w:type="dxa"/>
            <w:noWrap w:val="0"/>
            <w:vAlign w:val="center"/>
          </w:tcPr>
          <w:p w14:paraId="49D79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83" w:type="dxa"/>
            <w:noWrap w:val="0"/>
            <w:vAlign w:val="top"/>
          </w:tcPr>
          <w:p w14:paraId="62D07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7489CB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5A709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7C88D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4350A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restart"/>
            <w:noWrap w:val="0"/>
            <w:vAlign w:val="center"/>
          </w:tcPr>
          <w:p w14:paraId="1C037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1D425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50分)</w:t>
            </w:r>
          </w:p>
        </w:tc>
        <w:tc>
          <w:tcPr>
            <w:tcW w:w="1119" w:type="dxa"/>
            <w:vMerge w:val="restart"/>
            <w:noWrap w:val="0"/>
            <w:vAlign w:val="center"/>
          </w:tcPr>
          <w:p w14:paraId="6C621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</w:t>
            </w:r>
          </w:p>
          <w:p w14:paraId="4CE8D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87" w:type="dxa"/>
            <w:gridSpan w:val="2"/>
            <w:noWrap w:val="0"/>
            <w:vAlign w:val="center"/>
          </w:tcPr>
          <w:p w14:paraId="6401F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保证工资支出和日常工作正常运转，市政设施的日常维护维修工作</w:t>
            </w:r>
          </w:p>
        </w:tc>
        <w:tc>
          <w:tcPr>
            <w:tcW w:w="1192" w:type="dxa"/>
            <w:noWrap w:val="0"/>
            <w:vAlign w:val="center"/>
          </w:tcPr>
          <w:p w14:paraId="15C30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2CA18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7E9C6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44AD0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3F58C6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B4CC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46165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continue"/>
            <w:noWrap w:val="0"/>
            <w:vAlign w:val="center"/>
          </w:tcPr>
          <w:p w14:paraId="56B2A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vMerge w:val="continue"/>
            <w:noWrap w:val="0"/>
            <w:vAlign w:val="center"/>
          </w:tcPr>
          <w:p w14:paraId="40C33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 w14:paraId="42711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①控违办日常运行和整治经费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万元，②整治经费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万元，；③绿化养护经费50万元，④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lang w:eastAsia="zh-CN"/>
              </w:rPr>
              <w:t>经常性补助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万元。</w:t>
            </w:r>
          </w:p>
        </w:tc>
        <w:tc>
          <w:tcPr>
            <w:tcW w:w="1192" w:type="dxa"/>
            <w:noWrap w:val="0"/>
            <w:vAlign w:val="center"/>
          </w:tcPr>
          <w:p w14:paraId="0FBF7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3A4F3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72C1C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7A023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139810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7A41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60D8F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continue"/>
            <w:noWrap w:val="0"/>
            <w:vAlign w:val="center"/>
          </w:tcPr>
          <w:p w14:paraId="56305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vMerge w:val="restart"/>
            <w:noWrap w:val="0"/>
            <w:vAlign w:val="center"/>
          </w:tcPr>
          <w:p w14:paraId="26A3E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</w:t>
            </w:r>
          </w:p>
          <w:p w14:paraId="73244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87" w:type="dxa"/>
            <w:gridSpan w:val="2"/>
            <w:noWrap w:val="0"/>
            <w:vAlign w:val="center"/>
          </w:tcPr>
          <w:p w14:paraId="7183F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保证工资支出和日常工作正常运转</w:t>
            </w:r>
          </w:p>
        </w:tc>
        <w:tc>
          <w:tcPr>
            <w:tcW w:w="1192" w:type="dxa"/>
            <w:noWrap w:val="0"/>
            <w:vAlign w:val="center"/>
          </w:tcPr>
          <w:p w14:paraId="28F41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3E034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3581F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3C285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28DD2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</w:tr>
      <w:tr w14:paraId="6AF73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17CCF0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continue"/>
            <w:noWrap w:val="0"/>
            <w:vAlign w:val="center"/>
          </w:tcPr>
          <w:p w14:paraId="1718B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vMerge w:val="continue"/>
            <w:noWrap w:val="0"/>
            <w:vAlign w:val="center"/>
          </w:tcPr>
          <w:p w14:paraId="037F5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 w14:paraId="7E51F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城区主次干道市容市貌、占道经营，渣土扬尘环境污染管理工作，市政设施的日常维护维修工作</w:t>
            </w:r>
          </w:p>
        </w:tc>
        <w:tc>
          <w:tcPr>
            <w:tcW w:w="1192" w:type="dxa"/>
            <w:noWrap w:val="0"/>
            <w:vAlign w:val="center"/>
          </w:tcPr>
          <w:p w14:paraId="1DF6F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05AB4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2F6242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0F5E8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3348F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</w:tr>
      <w:tr w14:paraId="74921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6539A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continue"/>
            <w:noWrap w:val="0"/>
            <w:vAlign w:val="center"/>
          </w:tcPr>
          <w:p w14:paraId="6C227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A9F5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</w:t>
            </w:r>
          </w:p>
          <w:p w14:paraId="69C1D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87" w:type="dxa"/>
            <w:gridSpan w:val="2"/>
            <w:noWrap w:val="0"/>
            <w:vAlign w:val="center"/>
          </w:tcPr>
          <w:p w14:paraId="22793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202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年12月31日前完成</w:t>
            </w:r>
          </w:p>
        </w:tc>
        <w:tc>
          <w:tcPr>
            <w:tcW w:w="1192" w:type="dxa"/>
            <w:noWrap w:val="0"/>
            <w:vAlign w:val="center"/>
          </w:tcPr>
          <w:p w14:paraId="4FB4C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0147B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23AE6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53D36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78995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</w:tr>
      <w:tr w14:paraId="78970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07269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continue"/>
            <w:noWrap w:val="0"/>
            <w:vAlign w:val="center"/>
          </w:tcPr>
          <w:p w14:paraId="5B03E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vMerge w:val="restart"/>
            <w:noWrap w:val="0"/>
            <w:vAlign w:val="center"/>
          </w:tcPr>
          <w:p w14:paraId="491F8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  <w:p w14:paraId="4CAD2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87" w:type="dxa"/>
            <w:gridSpan w:val="2"/>
            <w:noWrap w:val="0"/>
            <w:vAlign w:val="center"/>
          </w:tcPr>
          <w:p w14:paraId="5DDBD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  <w:t>基本支出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1372.47万元，其中工资福利支出1065.86万元，商品和服务支出238.09万元，（公务接待1.77万元，公务用车运行维护费26.15万元）</w:t>
            </w:r>
          </w:p>
        </w:tc>
        <w:tc>
          <w:tcPr>
            <w:tcW w:w="1192" w:type="dxa"/>
            <w:noWrap w:val="0"/>
            <w:vAlign w:val="center"/>
          </w:tcPr>
          <w:p w14:paraId="29C3F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B05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03882A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17C24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573E3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6282B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</w:tr>
      <w:tr w14:paraId="05FBD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3C54D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continue"/>
            <w:noWrap w:val="0"/>
            <w:vAlign w:val="center"/>
          </w:tcPr>
          <w:p w14:paraId="4CA4A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vMerge w:val="continue"/>
            <w:noWrap w:val="0"/>
            <w:vAlign w:val="center"/>
          </w:tcPr>
          <w:p w14:paraId="41C36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 w14:paraId="294454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项目支出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lang w:val="en-US" w:eastAsia="zh-CN"/>
              </w:rPr>
              <w:t>98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万元，其中①控违办日常运行和整治经费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万元；②；整治经费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万元；③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lang w:eastAsia="zh-CN"/>
              </w:rPr>
              <w:t>园林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绿化养护经费50万元；④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lang w:eastAsia="zh-CN"/>
              </w:rPr>
              <w:t>经常性补助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万元。</w:t>
            </w:r>
          </w:p>
        </w:tc>
        <w:tc>
          <w:tcPr>
            <w:tcW w:w="1192" w:type="dxa"/>
            <w:noWrap w:val="0"/>
            <w:vAlign w:val="center"/>
          </w:tcPr>
          <w:p w14:paraId="015B72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0B212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41D8C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4C52D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68D4D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</w:tr>
      <w:tr w14:paraId="44DD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42392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restart"/>
            <w:noWrap w:val="0"/>
            <w:vAlign w:val="center"/>
          </w:tcPr>
          <w:p w14:paraId="30770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4E8E4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1119" w:type="dxa"/>
            <w:noWrap w:val="0"/>
            <w:vAlign w:val="center"/>
          </w:tcPr>
          <w:p w14:paraId="4CC79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29FB7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87" w:type="dxa"/>
            <w:gridSpan w:val="2"/>
            <w:noWrap w:val="0"/>
            <w:vAlign w:val="center"/>
          </w:tcPr>
          <w:p w14:paraId="0A4BF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经济效益是广泛的、长期的、无可替代的。</w:t>
            </w:r>
          </w:p>
        </w:tc>
        <w:tc>
          <w:tcPr>
            <w:tcW w:w="1192" w:type="dxa"/>
            <w:noWrap w:val="0"/>
            <w:vAlign w:val="center"/>
          </w:tcPr>
          <w:p w14:paraId="05461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5A044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036BA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27D21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767F4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</w:tr>
      <w:tr w14:paraId="18A4C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19A55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continue"/>
            <w:noWrap w:val="0"/>
            <w:vAlign w:val="center"/>
          </w:tcPr>
          <w:p w14:paraId="4A29A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72D73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50659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87" w:type="dxa"/>
            <w:gridSpan w:val="2"/>
            <w:noWrap w:val="0"/>
            <w:vAlign w:val="center"/>
          </w:tcPr>
          <w:p w14:paraId="7C2BE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方便市民生活，构建和谐社会</w:t>
            </w:r>
          </w:p>
        </w:tc>
        <w:tc>
          <w:tcPr>
            <w:tcW w:w="1192" w:type="dxa"/>
            <w:noWrap w:val="0"/>
            <w:vAlign w:val="center"/>
          </w:tcPr>
          <w:p w14:paraId="75170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0C8A5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3E2DF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34B05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115D6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</w:tr>
      <w:tr w14:paraId="11013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225A1F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continue"/>
            <w:noWrap w:val="0"/>
            <w:vAlign w:val="center"/>
          </w:tcPr>
          <w:p w14:paraId="04500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vMerge w:val="restart"/>
            <w:noWrap w:val="0"/>
            <w:vAlign w:val="center"/>
          </w:tcPr>
          <w:p w14:paraId="766A3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21C38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87" w:type="dxa"/>
            <w:gridSpan w:val="2"/>
            <w:noWrap w:val="0"/>
            <w:vAlign w:val="center"/>
          </w:tcPr>
          <w:p w14:paraId="7E9D8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美化城市，改善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16"/>
                <w:szCs w:val="16"/>
              </w:rPr>
              <w:t>环境</w:t>
            </w:r>
          </w:p>
        </w:tc>
        <w:tc>
          <w:tcPr>
            <w:tcW w:w="1192" w:type="dxa"/>
            <w:noWrap w:val="0"/>
            <w:vAlign w:val="center"/>
          </w:tcPr>
          <w:p w14:paraId="135B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54977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11134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6F099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651B9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</w:tr>
      <w:tr w14:paraId="351D1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7B0AF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continue"/>
            <w:noWrap w:val="0"/>
            <w:vAlign w:val="center"/>
          </w:tcPr>
          <w:p w14:paraId="38F67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vMerge w:val="continue"/>
            <w:noWrap w:val="0"/>
            <w:vAlign w:val="center"/>
          </w:tcPr>
          <w:p w14:paraId="2E146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 w14:paraId="295DD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给人们提供一个良好的工作，生活空间</w:t>
            </w:r>
          </w:p>
        </w:tc>
        <w:tc>
          <w:tcPr>
            <w:tcW w:w="1192" w:type="dxa"/>
            <w:noWrap w:val="0"/>
            <w:vAlign w:val="center"/>
          </w:tcPr>
          <w:p w14:paraId="19C9F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6B393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1F5B3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3014C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2B894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</w:tr>
      <w:tr w14:paraId="6101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258DA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vMerge w:val="continue"/>
            <w:noWrap w:val="0"/>
            <w:vAlign w:val="center"/>
          </w:tcPr>
          <w:p w14:paraId="6BF63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F9F0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087" w:type="dxa"/>
            <w:gridSpan w:val="2"/>
            <w:noWrap w:val="0"/>
            <w:vAlign w:val="center"/>
          </w:tcPr>
          <w:p w14:paraId="16505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改善市民生活和购物环境，提升城市品味</w:t>
            </w:r>
          </w:p>
        </w:tc>
        <w:tc>
          <w:tcPr>
            <w:tcW w:w="1192" w:type="dxa"/>
            <w:noWrap w:val="0"/>
            <w:vAlign w:val="center"/>
          </w:tcPr>
          <w:p w14:paraId="495A6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18353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13997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7E950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46716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</w:tr>
      <w:tr w14:paraId="03397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2" w:type="dxa"/>
            <w:vMerge w:val="continue"/>
            <w:noWrap w:val="0"/>
            <w:vAlign w:val="center"/>
          </w:tcPr>
          <w:p w14:paraId="54D3A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B59A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2A009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22D6E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119" w:type="dxa"/>
            <w:noWrap w:val="0"/>
            <w:vAlign w:val="center"/>
          </w:tcPr>
          <w:p w14:paraId="0AB3C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087" w:type="dxa"/>
            <w:gridSpan w:val="2"/>
            <w:noWrap w:val="0"/>
            <w:vAlign w:val="center"/>
          </w:tcPr>
          <w:p w14:paraId="4ED935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改善市容市貌与市民购物环境，提升城市品味，方便市民生活，构建和谐社会</w:t>
            </w:r>
          </w:p>
        </w:tc>
        <w:tc>
          <w:tcPr>
            <w:tcW w:w="1192" w:type="dxa"/>
            <w:noWrap w:val="0"/>
            <w:vAlign w:val="center"/>
          </w:tcPr>
          <w:p w14:paraId="1DE66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16"/>
                <w:szCs w:val="16"/>
              </w:rPr>
              <w:t>正常运转</w:t>
            </w:r>
          </w:p>
        </w:tc>
        <w:tc>
          <w:tcPr>
            <w:tcW w:w="1127" w:type="dxa"/>
            <w:noWrap w:val="0"/>
            <w:vAlign w:val="center"/>
          </w:tcPr>
          <w:p w14:paraId="134FB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707" w:type="dxa"/>
            <w:noWrap w:val="0"/>
            <w:vAlign w:val="center"/>
          </w:tcPr>
          <w:p w14:paraId="44367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516" w:type="dxa"/>
            <w:noWrap w:val="0"/>
            <w:vAlign w:val="center"/>
          </w:tcPr>
          <w:p w14:paraId="4603B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7E426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0"/>
                <w:szCs w:val="10"/>
              </w:rPr>
              <w:t>　</w:t>
            </w:r>
          </w:p>
        </w:tc>
      </w:tr>
      <w:tr w14:paraId="37A1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56" w:type="dxa"/>
            <w:gridSpan w:val="7"/>
            <w:noWrap w:val="0"/>
            <w:vAlign w:val="center"/>
          </w:tcPr>
          <w:p w14:paraId="7C0DE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707" w:type="dxa"/>
            <w:noWrap w:val="0"/>
            <w:vAlign w:val="center"/>
          </w:tcPr>
          <w:p w14:paraId="61C0B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16" w:type="dxa"/>
            <w:noWrap w:val="0"/>
            <w:vAlign w:val="center"/>
          </w:tcPr>
          <w:p w14:paraId="5A820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83" w:type="dxa"/>
            <w:noWrap w:val="0"/>
            <w:vAlign w:val="center"/>
          </w:tcPr>
          <w:p w14:paraId="648BF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276BF6A1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袁艳春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18974585720</w:t>
      </w:r>
    </w:p>
    <w:p w14:paraId="1B015D9D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D5BECF"/>
    <w:multiLevelType w:val="singleLevel"/>
    <w:tmpl w:val="A6D5BEC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34930F9"/>
    <w:multiLevelType w:val="singleLevel"/>
    <w:tmpl w:val="B34930F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B94B193"/>
    <w:multiLevelType w:val="singleLevel"/>
    <w:tmpl w:val="DB94B19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45B2449F"/>
    <w:multiLevelType w:val="singleLevel"/>
    <w:tmpl w:val="45B2449F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MjRmMTNhMjQ5YTIyZGM5ODgyNWQzMjVmZWYyN2QifQ=="/>
  </w:docVars>
  <w:rsids>
    <w:rsidRoot w:val="25C857CE"/>
    <w:rsid w:val="00261308"/>
    <w:rsid w:val="057C3D29"/>
    <w:rsid w:val="0D02294A"/>
    <w:rsid w:val="119F5FC0"/>
    <w:rsid w:val="166F3B31"/>
    <w:rsid w:val="17491765"/>
    <w:rsid w:val="18AB0A60"/>
    <w:rsid w:val="1AAB4432"/>
    <w:rsid w:val="1B407207"/>
    <w:rsid w:val="1E1D36C6"/>
    <w:rsid w:val="1E3B24AA"/>
    <w:rsid w:val="2061164C"/>
    <w:rsid w:val="21DD2CAC"/>
    <w:rsid w:val="25C857CE"/>
    <w:rsid w:val="26D22599"/>
    <w:rsid w:val="26DA70E8"/>
    <w:rsid w:val="2AB12A90"/>
    <w:rsid w:val="2CC96158"/>
    <w:rsid w:val="354A2258"/>
    <w:rsid w:val="355C5F70"/>
    <w:rsid w:val="3590031A"/>
    <w:rsid w:val="38FA62F5"/>
    <w:rsid w:val="3C027A03"/>
    <w:rsid w:val="3FFD3F10"/>
    <w:rsid w:val="46F37163"/>
    <w:rsid w:val="483657CB"/>
    <w:rsid w:val="4AAC0F22"/>
    <w:rsid w:val="4CAB31A6"/>
    <w:rsid w:val="4D1C6F6A"/>
    <w:rsid w:val="519912DC"/>
    <w:rsid w:val="52135457"/>
    <w:rsid w:val="524F0AE5"/>
    <w:rsid w:val="53845EDA"/>
    <w:rsid w:val="54CC5CE8"/>
    <w:rsid w:val="5964571A"/>
    <w:rsid w:val="59C13456"/>
    <w:rsid w:val="5DA565E5"/>
    <w:rsid w:val="5E965BF2"/>
    <w:rsid w:val="5ED304DB"/>
    <w:rsid w:val="5FA91F08"/>
    <w:rsid w:val="69DF76A3"/>
    <w:rsid w:val="6F993580"/>
    <w:rsid w:val="78D769B0"/>
    <w:rsid w:val="79F5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标题1"/>
    <w:basedOn w:val="2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3489</Words>
  <Characters>3915</Characters>
  <Lines>0</Lines>
  <Paragraphs>0</Paragraphs>
  <TotalTime>17</TotalTime>
  <ScaleCrop>false</ScaleCrop>
  <LinksUpToDate>false</LinksUpToDate>
  <CharactersWithSpaces>4237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2024-02-02T06:51:00Z</dcterms:created>
  <dc:creator>肖俊成</dc:creator>
  <cp:lastModifiedBy>叶子</cp:lastModifiedBy>
  <cp:lastPrinted>2024-02-02T07:11:00Z</cp:lastPrinted>
  <dcterms:modified xsi:type="dcterms:W3CDTF">2024-10-17T02:24:55Z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85B92041AD5548C2B473551FB68112C1_11</vt:lpwstr>
  </property>
</Properties>
</file>