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hint="eastAsia" w:ascii="方正小标宋_GBK" w:hAnsi="方正小标宋_GBK" w:eastAsia="方正小标宋_GBK" w:cs="方正小标宋_GBK"/>
          <w:i w:val="0"/>
          <w:iCs w:val="0"/>
          <w:caps w:val="0"/>
          <w:color w:val="000000"/>
          <w:spacing w:val="0"/>
          <w:sz w:val="44"/>
          <w:szCs w:val="44"/>
          <w:shd w:val="clear" w:color="auto" w:fill="FFFFFF"/>
        </w:rPr>
      </w:pPr>
      <w:r>
        <w:rPr>
          <w:rFonts w:hint="eastAsia" w:ascii="方正小标宋_GBK" w:hAnsi="方正小标宋_GBK" w:eastAsia="方正小标宋_GBK" w:cs="方正小标宋_GBK"/>
          <w:i w:val="0"/>
          <w:iCs w:val="0"/>
          <w:caps w:val="0"/>
          <w:color w:val="000000"/>
          <w:spacing w:val="0"/>
          <w:sz w:val="44"/>
          <w:szCs w:val="44"/>
          <w:shd w:val="clear" w:color="auto" w:fill="FFFFFF"/>
          <w:lang w:eastAsia="zh-CN"/>
        </w:rPr>
        <w:t>会同县妇女联合会</w:t>
      </w:r>
      <w:r>
        <w:rPr>
          <w:rFonts w:hint="eastAsia" w:ascii="方正小标宋_GBK" w:hAnsi="方正小标宋_GBK" w:eastAsia="方正小标宋_GBK" w:cs="方正小标宋_GBK"/>
          <w:i w:val="0"/>
          <w:iCs w:val="0"/>
          <w:caps w:val="0"/>
          <w:color w:val="000000"/>
          <w:spacing w:val="0"/>
          <w:sz w:val="44"/>
          <w:szCs w:val="44"/>
          <w:shd w:val="clear" w:color="auto" w:fill="FFFFFF"/>
        </w:rPr>
        <w:t>整体支出绩效自评报告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hint="eastAsia" w:ascii="方正小标宋_GBK" w:hAnsi="方正小标宋_GBK" w:eastAsia="方正小标宋_GBK" w:cs="方正小标宋_GBK"/>
          <w:i w:val="0"/>
          <w:iCs w:val="0"/>
          <w:caps w:val="0"/>
          <w:color w:val="000000"/>
          <w:spacing w:val="0"/>
          <w:sz w:val="44"/>
          <w:szCs w:val="44"/>
          <w:shd w:val="clear" w:color="auto" w:fill="FFFFFF"/>
        </w:rPr>
      </w:pPr>
    </w:p>
    <w:p>
      <w:pPr>
        <w:autoSpaceDN w:val="0"/>
        <w:spacing w:line="560" w:lineRule="exact"/>
        <w:ind w:firstLine="643"/>
        <w:rPr>
          <w:rFonts w:ascii="仿宋_GB2312" w:eastAsia="仿宋_GB2312" w:cs="仿宋_GB2312"/>
          <w:i w:val="0"/>
          <w:iCs w:val="0"/>
          <w:caps w:val="0"/>
          <w:color w:val="000000"/>
          <w:spacing w:val="0"/>
          <w:sz w:val="24"/>
          <w:szCs w:val="24"/>
        </w:rPr>
      </w:pPr>
      <w:r>
        <w:rPr>
          <w:rFonts w:hint="eastAsia" w:ascii="仿宋_GB2312" w:hAnsi="Times New Roman" w:eastAsia="仿宋_GB2312" w:cs="Times New Roman"/>
          <w:sz w:val="32"/>
          <w:szCs w:val="32"/>
          <w:lang w:eastAsia="zh-CN"/>
        </w:rPr>
        <w:t>为加强预算绩效管理，强化预算支出绩效责任，提高财政资金使用效益，根据《中共湖南省委办公厅湖南省人民政府办公厅关于全面实施预算绩效管理的实施意见》（湘办发[2019]10号）、</w:t>
      </w:r>
      <w:r>
        <w:rPr>
          <w:rFonts w:hint="eastAsia" w:ascii="仿宋_GB2312" w:hAnsi="仿宋_GB2312" w:eastAsia="仿宋_GB2312" w:cs="仿宋_GB2312"/>
          <w:sz w:val="32"/>
          <w:szCs w:val="32"/>
        </w:rPr>
        <w:t>《关于开展202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年度本级财政资金绩效自评工作的</w:t>
      </w:r>
      <w:r>
        <w:rPr>
          <w:rFonts w:hint="eastAsia" w:ascii="仿宋_GB2312" w:hAnsi="仿宋_GB2312" w:eastAsia="仿宋_GB2312" w:cs="仿宋_GB2312"/>
          <w:sz w:val="32"/>
          <w:szCs w:val="32"/>
          <w:lang w:eastAsia="zh-CN"/>
        </w:rPr>
        <w:t>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（会绩效</w:t>
      </w:r>
      <w:r>
        <w:rPr>
          <w:rFonts w:hint="eastAsia" w:ascii="仿宋_GB2312" w:hAnsi="仿宋_GB2312" w:eastAsia="仿宋_GB2312" w:cs="仿宋_GB2312"/>
          <w:sz w:val="32"/>
          <w:szCs w:val="32"/>
          <w:lang w:val="en-US" w:eastAsia="zh-CN"/>
        </w:rPr>
        <w:t>[2023］11号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eastAsia" w:ascii="仿宋_GB2312" w:hAnsi="Times New Roman" w:eastAsia="仿宋_GB2312" w:cs="Times New Roman"/>
          <w:sz w:val="32"/>
          <w:szCs w:val="32"/>
          <w:lang w:eastAsia="zh-CN"/>
        </w:rPr>
        <w:t>202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年度，</w:t>
      </w:r>
      <w:r>
        <w:rPr>
          <w:rFonts w:hint="eastAsia" w:ascii="仿宋_GB2312" w:eastAsia="仿宋_GB2312" w:cs="Times New Roman"/>
          <w:sz w:val="32"/>
          <w:szCs w:val="32"/>
          <w:lang w:val="en-US" w:eastAsia="zh-CN"/>
        </w:rPr>
        <w:t>县妇联</w:t>
      </w:r>
      <w:r>
        <w:rPr>
          <w:rFonts w:hint="eastAsia" w:ascii="仿宋_GB2312" w:hAnsi="Times New Roman" w:eastAsia="仿宋_GB2312" w:cs="Times New Roman"/>
          <w:sz w:val="32"/>
          <w:szCs w:val="32"/>
          <w:lang w:eastAsia="zh-CN"/>
        </w:rPr>
        <w:t>坚持以执行预算为中心，以节约费用为重点，抓好单位财务管理工作，现就202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eastAsia="zh-CN"/>
        </w:rPr>
        <w:t>年整体、项目支出绩效自评如下：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一、部门、单位基本情况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机构设置情况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50" w:lineRule="exact"/>
        <w:ind w:left="0" w:right="0" w:firstLine="640"/>
        <w:jc w:val="both"/>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_GB2312" w:hAnsi="Times New Roman" w:eastAsia="仿宋_GB2312" w:cs="Times New Roman"/>
          <w:sz w:val="32"/>
          <w:szCs w:val="32"/>
          <w:lang w:val="en-US" w:eastAsia="zh-CN"/>
        </w:rPr>
        <w:t>县妇联内设有妇联办公室、县妇儿工委办公室。</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人员编制情况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50" w:lineRule="exact"/>
        <w:ind w:left="0" w:right="0" w:firstLine="640"/>
        <w:jc w:val="both"/>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人员情况：现有行政编制4个，事业编制2人，现有在编在岗人员4人，无下属二级机构。</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主要职能职责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550" w:lineRule="exact"/>
        <w:ind w:left="0" w:right="0" w:firstLine="640"/>
        <w:jc w:val="both"/>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本部门主要职责：会同县妇联是政府主管的群众团体职能部门。主管工作:团结教育广大妇女，贯彻党的基本路线，在建设富强、民主、文明的社会主义现代化国家中发挥积极作用，维护妇女的合法权益，推进妇女解放事业等工作</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绩效目标设定情况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按照县级预算管理工作的总体要求，本部门1个预算单位开展了2023年项目预算绩效目标编报工作。编报绩效目标的项目1个，涉及项目预算资金6.5万元。</w:t>
      </w:r>
    </w:p>
    <w:p>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eastAsia" w:ascii="楷体_GB2312" w:eastAsia="楷体_GB2312" w:cs="楷体_GB2312"/>
          <w:i w:val="0"/>
          <w:iCs w:val="0"/>
          <w:caps w:val="0"/>
          <w:color w:val="000000"/>
          <w:spacing w:val="0"/>
          <w:sz w:val="32"/>
          <w:szCs w:val="32"/>
          <w:shd w:val="clear" w:color="auto" w:fill="FFFFFF"/>
        </w:rPr>
        <w:t>预算执行、使用、管理总体情况。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lang w:val="en-US" w:eastAsia="zh-CN"/>
        </w:rPr>
      </w:pPr>
      <w:r>
        <w:rPr>
          <w:rFonts w:hint="eastAsia" w:ascii="楷体_GB2312" w:eastAsia="楷体_GB2312" w:cs="楷体_GB2312"/>
          <w:i w:val="0"/>
          <w:iCs w:val="0"/>
          <w:caps w:val="0"/>
          <w:color w:val="000000"/>
          <w:spacing w:val="0"/>
          <w:sz w:val="32"/>
          <w:szCs w:val="32"/>
          <w:shd w:val="clear" w:color="auto" w:fill="FFFFFF"/>
          <w:lang w:eastAsia="zh-CN"/>
        </w:rPr>
        <w:t>年初预算数</w:t>
      </w:r>
      <w:r>
        <w:rPr>
          <w:rFonts w:hint="eastAsia" w:ascii="楷体_GB2312" w:eastAsia="楷体_GB2312" w:cs="楷体_GB2312"/>
          <w:i w:val="0"/>
          <w:iCs w:val="0"/>
          <w:caps w:val="0"/>
          <w:color w:val="000000"/>
          <w:spacing w:val="0"/>
          <w:sz w:val="32"/>
          <w:szCs w:val="32"/>
          <w:shd w:val="clear" w:color="auto" w:fill="FFFFFF"/>
          <w:lang w:val="en-US" w:eastAsia="zh-CN"/>
        </w:rPr>
        <w:t>204.71万元，全年预算执行数</w:t>
      </w:r>
      <w:r>
        <w:rPr>
          <w:rFonts w:hint="eastAsia" w:ascii="楷体_GB2312" w:eastAsia="楷体_GB2312" w:cs="楷体_GB2312"/>
          <w:i w:val="0"/>
          <w:iCs w:val="0"/>
          <w:caps w:val="0"/>
          <w:color w:val="auto"/>
          <w:spacing w:val="0"/>
          <w:sz w:val="32"/>
          <w:szCs w:val="32"/>
          <w:shd w:val="clear" w:color="auto" w:fill="FFFFFF"/>
          <w:lang w:val="en-US" w:eastAsia="zh-CN"/>
        </w:rPr>
        <w:t>204.71</w:t>
      </w:r>
      <w:r>
        <w:rPr>
          <w:rFonts w:hint="eastAsia" w:ascii="楷体_GB2312" w:eastAsia="楷体_GB2312" w:cs="楷体_GB2312"/>
          <w:i w:val="0"/>
          <w:iCs w:val="0"/>
          <w:caps w:val="0"/>
          <w:color w:val="000000"/>
          <w:spacing w:val="0"/>
          <w:sz w:val="32"/>
          <w:szCs w:val="32"/>
          <w:shd w:val="clear" w:color="auto" w:fill="FFFFFF"/>
          <w:lang w:val="en-US" w:eastAsia="zh-CN"/>
        </w:rPr>
        <w:t>万元，</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部门预算执行情况</w:t>
      </w:r>
    </w:p>
    <w:p>
      <w:pPr>
        <w:spacing w:line="560" w:lineRule="exact"/>
        <w:ind w:firstLine="64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收入方面</w:t>
      </w:r>
      <w:r>
        <w:rPr>
          <w:rFonts w:hint="eastAsia" w:ascii="仿宋_GB2312" w:hAnsi="仿宋_GB2312" w:eastAsia="仿宋_GB2312" w:cs="仿宋_GB2312"/>
          <w:sz w:val="32"/>
          <w:szCs w:val="32"/>
        </w:rPr>
        <w:t>：在实际执行中，</w:t>
      </w:r>
      <w:r>
        <w:rPr>
          <w:rFonts w:hint="eastAsia" w:ascii="仿宋_GB2312" w:hAnsi="仿宋_GB2312" w:eastAsia="仿宋_GB2312" w:cs="仿宋_GB2312"/>
          <w:sz w:val="32"/>
          <w:szCs w:val="32"/>
          <w:lang w:val="en-US" w:eastAsia="zh-CN"/>
        </w:rPr>
        <w:t>县妇联</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eastAsia="zh-CN"/>
        </w:rPr>
        <w:t>总</w:t>
      </w:r>
      <w:r>
        <w:rPr>
          <w:rFonts w:hint="eastAsia" w:ascii="仿宋_GB2312" w:hAnsi="仿宋_GB2312" w:eastAsia="仿宋_GB2312" w:cs="仿宋_GB2312"/>
          <w:sz w:val="32"/>
          <w:szCs w:val="32"/>
        </w:rPr>
        <w:t>收入为</w:t>
      </w:r>
      <w:r>
        <w:rPr>
          <w:rFonts w:hint="eastAsia" w:ascii="楷体_GB2312" w:eastAsia="楷体_GB2312" w:cs="楷体_GB2312"/>
          <w:i w:val="0"/>
          <w:iCs w:val="0"/>
          <w:caps w:val="0"/>
          <w:color w:val="auto"/>
          <w:spacing w:val="0"/>
          <w:sz w:val="32"/>
          <w:szCs w:val="32"/>
          <w:shd w:val="clear" w:color="auto" w:fill="FFFFFF"/>
          <w:lang w:val="en-US" w:eastAsia="zh-CN"/>
        </w:rPr>
        <w:t>204.71</w:t>
      </w:r>
      <w:r>
        <w:rPr>
          <w:rFonts w:hint="eastAsia" w:ascii="楷体_GB2312" w:eastAsia="楷体_GB2312" w:cs="楷体_GB2312"/>
          <w:i w:val="0"/>
          <w:iCs w:val="0"/>
          <w:caps w:val="0"/>
          <w:color w:val="000000"/>
          <w:spacing w:val="0"/>
          <w:sz w:val="32"/>
          <w:szCs w:val="32"/>
          <w:shd w:val="clear" w:color="auto" w:fill="FFFFFF"/>
          <w:lang w:val="en-US"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2023年结转结余资金为0，具体如下：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县本级年初预算拨款收入</w:t>
      </w:r>
      <w:r>
        <w:rPr>
          <w:rFonts w:hint="eastAsia" w:ascii="楷体_GB2312" w:eastAsia="楷体_GB2312" w:cs="楷体_GB2312"/>
          <w:i w:val="0"/>
          <w:iCs w:val="0"/>
          <w:caps w:val="0"/>
          <w:color w:val="000000"/>
          <w:spacing w:val="0"/>
          <w:sz w:val="32"/>
          <w:szCs w:val="32"/>
          <w:shd w:val="clear" w:color="auto" w:fill="FFFFFF"/>
          <w:lang w:val="en-US" w:eastAsia="zh-CN"/>
        </w:rPr>
        <w:t>66.07万元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auto"/>
          <w:sz w:val="32"/>
          <w:szCs w:val="32"/>
          <w:lang w:val="en-US" w:eastAsia="zh-CN"/>
        </w:rPr>
        <w:t>其中基本支出收入59.57万元（工资福利收入53.07万元、公用经费收入6.5万元）；项目收入6.5万元。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预算调整收入</w:t>
      </w:r>
      <w:r>
        <w:rPr>
          <w:rFonts w:hint="eastAsia" w:ascii="仿宋_GB2312" w:hAnsi="仿宋_GB2312" w:eastAsia="仿宋_GB2312" w:cs="仿宋_GB2312"/>
          <w:color w:val="auto"/>
          <w:sz w:val="32"/>
          <w:szCs w:val="32"/>
          <w:lang w:val="en-US" w:eastAsia="zh-CN"/>
        </w:rPr>
        <w:t>138.64</w:t>
      </w:r>
      <w:r>
        <w:rPr>
          <w:rFonts w:hint="eastAsia" w:ascii="仿宋_GB2312" w:hAnsi="仿宋_GB2312" w:eastAsia="仿宋_GB2312" w:cs="仿宋_GB2312"/>
          <w:color w:val="000000"/>
          <w:sz w:val="32"/>
          <w:szCs w:val="32"/>
          <w:lang w:val="en-US" w:eastAsia="zh-CN"/>
        </w:rPr>
        <w:t>万</w:t>
      </w:r>
      <w:r>
        <w:rPr>
          <w:rFonts w:hint="eastAsia" w:ascii="仿宋_GB2312" w:hAnsi="仿宋_GB2312" w:eastAsia="仿宋_GB2312" w:cs="仿宋_GB2312"/>
          <w:color w:val="000000"/>
          <w:sz w:val="32"/>
          <w:szCs w:val="32"/>
        </w:rPr>
        <w:t>元。其中</w:t>
      </w:r>
      <w:r>
        <w:rPr>
          <w:rFonts w:hint="eastAsia" w:ascii="仿宋_GB2312" w:hAnsi="仿宋_GB2312" w:eastAsia="仿宋_GB2312" w:cs="仿宋_GB2312"/>
          <w:color w:val="000000"/>
          <w:sz w:val="32"/>
          <w:szCs w:val="32"/>
          <w:lang w:val="en-US" w:eastAsia="zh-CN"/>
        </w:rPr>
        <w:t>基本支出调增140.26万元，</w:t>
      </w:r>
      <w:r>
        <w:rPr>
          <w:rFonts w:hint="eastAsia" w:ascii="仿宋_GB2312" w:hAnsi="仿宋_GB2312" w:eastAsia="仿宋_GB2312" w:cs="仿宋_GB2312"/>
          <w:color w:val="auto"/>
          <w:sz w:val="32"/>
          <w:szCs w:val="32"/>
          <w:lang w:val="en-US" w:eastAsia="zh-CN"/>
        </w:rPr>
        <w:t>（人员工资及福利调增112.9万元，日常公用经费调增27.36万元），项目调减收入1.62万元。</w:t>
      </w:r>
    </w:p>
    <w:p>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_GB2312" w:hAnsi="仿宋_GB2312" w:eastAsia="仿宋_GB2312" w:cs="仿宋_GB2312"/>
          <w:color w:val="000000"/>
          <w:sz w:val="32"/>
          <w:szCs w:val="32"/>
        </w:rPr>
        <w:t>支出方面：</w:t>
      </w:r>
      <w:r>
        <w:rPr>
          <w:rFonts w:hint="eastAsia" w:ascii="仿宋_GB2312" w:hAnsi="仿宋_GB2312" w:eastAsia="仿宋_GB2312" w:cs="仿宋_GB2312"/>
          <w:color w:val="000000"/>
          <w:sz w:val="32"/>
          <w:szCs w:val="32"/>
          <w:lang w:val="en-US" w:eastAsia="zh-CN"/>
        </w:rPr>
        <w:t>全年实际支出为204.71万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val="en-US" w:eastAsia="zh-CN"/>
        </w:rPr>
        <w:t>，占全年收入的100%，财政均按实际支出进度予以拨付。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1.基本支出情况</w:t>
      </w:r>
    </w:p>
    <w:p>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基本支出</w:t>
      </w:r>
      <w:r>
        <w:rPr>
          <w:rFonts w:hint="eastAsia" w:ascii="仿宋_GB2312" w:hAnsi="仿宋_GB2312" w:eastAsia="仿宋_GB2312" w:cs="仿宋_GB2312"/>
          <w:color w:val="000000"/>
          <w:sz w:val="32"/>
          <w:szCs w:val="32"/>
          <w:lang w:val="en-US" w:eastAsia="zh-CN"/>
        </w:rPr>
        <w:t>199.83万元</w:t>
      </w:r>
      <w:r>
        <w:rPr>
          <w:rFonts w:hint="eastAsia" w:ascii="仿宋_GB2312" w:hAnsi="仿宋_GB2312" w:eastAsia="仿宋_GB2312" w:cs="仿宋_GB2312"/>
          <w:color w:val="000000"/>
          <w:sz w:val="32"/>
          <w:szCs w:val="32"/>
        </w:rPr>
        <w:t>，占</w:t>
      </w:r>
      <w:r>
        <w:rPr>
          <w:rFonts w:hint="eastAsia" w:ascii="仿宋_GB2312" w:hAnsi="仿宋_GB2312" w:eastAsia="仿宋_GB2312" w:cs="仿宋_GB2312"/>
          <w:color w:val="000000"/>
          <w:sz w:val="32"/>
          <w:szCs w:val="32"/>
          <w:lang w:val="en-US" w:eastAsia="zh-CN"/>
        </w:rPr>
        <w:t>全年</w:t>
      </w:r>
      <w:r>
        <w:rPr>
          <w:rFonts w:hint="eastAsia" w:ascii="仿宋_GB2312" w:hAnsi="仿宋_GB2312" w:eastAsia="仿宋_GB2312" w:cs="仿宋_GB2312"/>
          <w:color w:val="000000"/>
          <w:sz w:val="32"/>
          <w:szCs w:val="32"/>
        </w:rPr>
        <w:t>收入的</w:t>
      </w:r>
      <w:r>
        <w:rPr>
          <w:rFonts w:hint="eastAsia" w:ascii="仿宋_GB2312" w:hAnsi="仿宋_GB2312" w:eastAsia="仿宋_GB2312" w:cs="仿宋_GB2312"/>
          <w:color w:val="000000"/>
          <w:sz w:val="32"/>
          <w:szCs w:val="32"/>
          <w:lang w:val="en-US" w:eastAsia="zh-CN"/>
        </w:rPr>
        <w:t>97.62</w:t>
      </w:r>
      <w:r>
        <w:rPr>
          <w:rFonts w:hint="eastAsia" w:ascii="仿宋_GB2312" w:hAnsi="仿宋_GB2312" w:eastAsia="仿宋_GB2312" w:cs="仿宋_GB2312"/>
          <w:color w:val="000000"/>
          <w:sz w:val="32"/>
          <w:szCs w:val="32"/>
        </w:rPr>
        <w:t>%，其中年中预算调整收入支出</w:t>
      </w:r>
      <w:r>
        <w:rPr>
          <w:rFonts w:hint="eastAsia" w:ascii="仿宋_GB2312" w:hAnsi="仿宋_GB2312" w:eastAsia="仿宋_GB2312" w:cs="仿宋_GB2312"/>
          <w:color w:val="000000"/>
          <w:sz w:val="32"/>
          <w:szCs w:val="32"/>
          <w:lang w:val="en-US" w:eastAsia="zh-CN"/>
        </w:rPr>
        <w:t>140.26万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占</w:t>
      </w:r>
      <w:r>
        <w:rPr>
          <w:rFonts w:hint="eastAsia" w:ascii="仿宋_GB2312" w:hAnsi="仿宋_GB2312" w:eastAsia="仿宋_GB2312" w:cs="仿宋_GB2312"/>
          <w:color w:val="000000"/>
          <w:sz w:val="32"/>
          <w:szCs w:val="32"/>
          <w:lang w:val="en-US" w:eastAsia="zh-CN"/>
        </w:rPr>
        <w:t>全年</w:t>
      </w:r>
      <w:r>
        <w:rPr>
          <w:rFonts w:hint="eastAsia" w:ascii="仿宋_GB2312" w:hAnsi="仿宋_GB2312" w:eastAsia="仿宋_GB2312" w:cs="仿宋_GB2312"/>
          <w:color w:val="000000"/>
          <w:sz w:val="32"/>
          <w:szCs w:val="32"/>
        </w:rPr>
        <w:t>收入的</w:t>
      </w:r>
      <w:r>
        <w:rPr>
          <w:rFonts w:hint="eastAsia" w:ascii="仿宋_GB2312" w:hAnsi="仿宋_GB2312" w:eastAsia="仿宋_GB2312" w:cs="仿宋_GB2312"/>
          <w:color w:val="000000"/>
          <w:sz w:val="32"/>
          <w:szCs w:val="32"/>
          <w:lang w:val="en-US" w:eastAsia="zh-CN"/>
        </w:rPr>
        <w:t>68.52</w:t>
      </w:r>
      <w:r>
        <w:rPr>
          <w:rFonts w:hint="eastAsia" w:ascii="仿宋_GB2312" w:hAnsi="仿宋_GB2312" w:eastAsia="仿宋_GB2312" w:cs="仿宋_GB2312"/>
          <w:color w:val="00000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1.工资福利支出59.01万元，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收入的</w:t>
      </w:r>
      <w:r>
        <w:rPr>
          <w:rFonts w:hint="eastAsia" w:ascii="仿宋_GB2312" w:hAnsi="仿宋_GB2312" w:eastAsia="仿宋_GB2312" w:cs="仿宋_GB2312"/>
          <w:color w:val="auto"/>
          <w:sz w:val="32"/>
          <w:szCs w:val="32"/>
          <w:lang w:val="en-US" w:eastAsia="zh-CN"/>
        </w:rPr>
        <w:t>28.83%。其中基本工资22.45万元，津贴补贴16.21万元，奖金0万元，伙食补助费1.66万元、绩效工资7.50万元、基本养老保险6.59万元、基本医疗保险2.94元、其他社会保障缴费0.36万元元，住房公积金0.25万元，其他工资福利支出1.05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2.商品和服务支出38.16万元，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收入的</w:t>
      </w:r>
      <w:r>
        <w:rPr>
          <w:rFonts w:hint="eastAsia" w:ascii="仿宋_GB2312" w:hAnsi="仿宋_GB2312" w:eastAsia="仿宋_GB2312" w:cs="仿宋_GB2312"/>
          <w:color w:val="auto"/>
          <w:sz w:val="32"/>
          <w:szCs w:val="32"/>
          <w:lang w:val="en-US" w:eastAsia="zh-CN"/>
        </w:rPr>
        <w:t>16.64%。其中办公费6.04万元，印刷费5.93万元，水费0.04万元，电费0.29万元，邮电费0.24万元、差旅费2.18万元，维修（护）费7.83万元，会议费、培训费0.67万元、公务接待费0.27万元、劳务费1.67万元，工会经费2.5万元，其他交通费1.12万元，其他商品和服务支出9.38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color w:val="000000"/>
          <w:sz w:val="32"/>
          <w:szCs w:val="32"/>
          <w:lang w:val="en-US" w:eastAsia="zh-CN"/>
        </w:rPr>
        <w:t>3.对个人和家庭的补助107.54万元，</w:t>
      </w:r>
      <w:r>
        <w:rPr>
          <w:rFonts w:hint="eastAsia" w:ascii="仿宋_GB2312" w:hAnsi="仿宋_GB2312" w:eastAsia="仿宋_GB2312" w:cs="仿宋_GB2312"/>
          <w:color w:val="000000"/>
          <w:sz w:val="32"/>
          <w:szCs w:val="32"/>
        </w:rPr>
        <w:t>占</w:t>
      </w:r>
      <w:r>
        <w:rPr>
          <w:rFonts w:hint="eastAsia" w:ascii="仿宋_GB2312" w:hAnsi="仿宋_GB2312" w:eastAsia="仿宋_GB2312" w:cs="仿宋_GB2312"/>
          <w:color w:val="000000"/>
          <w:sz w:val="32"/>
          <w:szCs w:val="32"/>
          <w:lang w:val="en-US" w:eastAsia="zh-CN"/>
        </w:rPr>
        <w:t>全年</w:t>
      </w:r>
      <w:r>
        <w:rPr>
          <w:rFonts w:hint="eastAsia" w:ascii="仿宋_GB2312" w:hAnsi="仿宋_GB2312" w:eastAsia="仿宋_GB2312" w:cs="仿宋_GB2312"/>
          <w:color w:val="000000"/>
          <w:sz w:val="32"/>
          <w:szCs w:val="32"/>
        </w:rPr>
        <w:t>收入的</w:t>
      </w:r>
      <w:r>
        <w:rPr>
          <w:rFonts w:hint="eastAsia" w:ascii="仿宋_GB2312" w:hAnsi="仿宋_GB2312" w:eastAsia="仿宋_GB2312" w:cs="仿宋_GB2312"/>
          <w:color w:val="000000"/>
          <w:sz w:val="32"/>
          <w:szCs w:val="32"/>
          <w:lang w:val="en-US" w:eastAsia="zh-CN"/>
        </w:rPr>
        <w:t>52.53%。其中生活补助104.94万元，退休费0.06万元，奖励金1.8万元，其他对个人和家庭的补助0.74万元。</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640" w:right="0" w:firstLine="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项目支出情况</w:t>
      </w:r>
    </w:p>
    <w:p>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color w:val="000000"/>
          <w:sz w:val="32"/>
          <w:szCs w:val="32"/>
        </w:rPr>
        <w:t>项目支出为</w:t>
      </w:r>
      <w:r>
        <w:rPr>
          <w:rFonts w:hint="eastAsia" w:ascii="仿宋_GB2312" w:hAnsi="仿宋_GB2312" w:eastAsia="仿宋_GB2312" w:cs="仿宋_GB2312"/>
          <w:color w:val="000000"/>
          <w:sz w:val="32"/>
          <w:szCs w:val="32"/>
          <w:lang w:val="en-US" w:eastAsia="zh-CN"/>
        </w:rPr>
        <w:t>4.88万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占</w:t>
      </w:r>
      <w:r>
        <w:rPr>
          <w:rFonts w:hint="eastAsia" w:ascii="仿宋_GB2312" w:hAnsi="仿宋_GB2312" w:eastAsia="仿宋_GB2312" w:cs="仿宋_GB2312"/>
          <w:color w:val="000000"/>
          <w:sz w:val="32"/>
          <w:szCs w:val="32"/>
          <w:lang w:val="en-US" w:eastAsia="zh-CN"/>
        </w:rPr>
        <w:t>全年</w:t>
      </w:r>
      <w:r>
        <w:rPr>
          <w:rFonts w:hint="eastAsia" w:ascii="仿宋_GB2312" w:hAnsi="仿宋_GB2312" w:eastAsia="仿宋_GB2312" w:cs="仿宋_GB2312"/>
          <w:color w:val="000000"/>
          <w:sz w:val="32"/>
          <w:szCs w:val="32"/>
        </w:rPr>
        <w:t>收入的</w:t>
      </w:r>
      <w:r>
        <w:rPr>
          <w:rFonts w:hint="eastAsia" w:ascii="仿宋_GB2312" w:hAnsi="仿宋_GB2312" w:eastAsia="仿宋_GB2312" w:cs="仿宋_GB2312"/>
          <w:color w:val="000000"/>
          <w:sz w:val="32"/>
          <w:szCs w:val="32"/>
          <w:lang w:val="en-US" w:eastAsia="zh-CN"/>
        </w:rPr>
        <w:t>的2.38%</w:t>
      </w:r>
      <w:r>
        <w:rPr>
          <w:rFonts w:hint="eastAsia" w:ascii="仿宋_GB2312" w:hAnsi="仿宋_GB2312" w:eastAsia="仿宋_GB2312" w:cs="仿宋_GB2312"/>
          <w:color w:val="000000"/>
          <w:sz w:val="32"/>
          <w:szCs w:val="32"/>
        </w:rPr>
        <w:t>。</w:t>
      </w:r>
      <w:bookmarkStart w:id="0" w:name="_GoBack"/>
      <w:bookmarkEnd w:id="0"/>
      <w:r>
        <w:rPr>
          <w:rFonts w:hint="eastAsia" w:ascii="仿宋_GB2312" w:hAnsi="仿宋_GB2312" w:eastAsia="仿宋_GB2312" w:cs="仿宋_GB2312"/>
          <w:color w:val="000000"/>
          <w:sz w:val="32"/>
          <w:szCs w:val="32"/>
          <w:highlight w:val="none"/>
          <w:lang w:val="en-US" w:eastAsia="zh-CN"/>
        </w:rPr>
        <w:t>年初预算项目妇儿工委经费6.5万元，实际支出</w:t>
      </w:r>
      <w:r>
        <w:rPr>
          <w:rFonts w:hint="eastAsia" w:ascii="仿宋_GB2312" w:hAnsi="仿宋_GB2312" w:eastAsia="仿宋_GB2312" w:cs="仿宋_GB2312"/>
          <w:color w:val="000000"/>
          <w:sz w:val="32"/>
          <w:szCs w:val="32"/>
          <w:lang w:val="en-US" w:eastAsia="zh-CN"/>
        </w:rPr>
        <w:t>4.88万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highlight w:val="none"/>
          <w:lang w:val="en-US" w:eastAsia="zh-CN"/>
        </w:rPr>
        <w:t>。其中办公费1.25万元、印刷费0.17万元，差旅费1.25万元、会议费、培训费0.47万元、公务接待费0.15万元、其他交通费0.48万元，其他商品和服务支出0.53万元、生活补助0.58万元。</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"三公"经费使用和管理情况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_GB2312" w:hAnsi="仿宋_GB2312" w:eastAsia="仿宋_GB2312" w:cs="仿宋_GB2312"/>
          <w:color w:val="auto"/>
          <w:sz w:val="32"/>
          <w:szCs w:val="32"/>
          <w:lang w:val="en-US" w:eastAsia="zh-CN"/>
        </w:rPr>
        <w:t>没有因公出国（境）人员以及公务用车运行维护，</w:t>
      </w:r>
      <w:r>
        <w:rPr>
          <w:rFonts w:hint="eastAsia" w:ascii="仿宋_GB2312" w:hAnsi="仿宋_GB2312" w:eastAsia="仿宋_GB2312" w:cs="仿宋_GB2312"/>
          <w:color w:val="auto"/>
          <w:sz w:val="32"/>
          <w:szCs w:val="32"/>
        </w:rPr>
        <w:t>公务接待年初预算安排</w:t>
      </w:r>
      <w:r>
        <w:rPr>
          <w:rFonts w:hint="eastAsia" w:ascii="仿宋_GB2312" w:hAnsi="仿宋_GB2312" w:eastAsia="仿宋_GB2312" w:cs="仿宋_GB2312"/>
          <w:color w:val="auto"/>
          <w:sz w:val="32"/>
          <w:szCs w:val="32"/>
          <w:lang w:val="en-US" w:eastAsia="zh-CN"/>
        </w:rPr>
        <w:t>0万</w:t>
      </w:r>
      <w:r>
        <w:rPr>
          <w:rFonts w:hint="eastAsia" w:ascii="仿宋_GB2312" w:hAnsi="仿宋_GB2312" w:eastAsia="仿宋_GB2312" w:cs="仿宋_GB2312"/>
          <w:color w:val="auto"/>
          <w:sz w:val="32"/>
          <w:szCs w:val="32"/>
        </w:rPr>
        <w:t>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实际支出</w:t>
      </w:r>
      <w:r>
        <w:rPr>
          <w:rFonts w:hint="eastAsia" w:ascii="仿宋_GB2312" w:hAnsi="仿宋_GB2312" w:eastAsia="仿宋_GB2312" w:cs="仿宋_GB2312"/>
          <w:color w:val="auto"/>
          <w:sz w:val="32"/>
          <w:szCs w:val="32"/>
          <w:lang w:val="en-US" w:eastAsia="zh-CN"/>
        </w:rPr>
        <w:t>0.42万</w:t>
      </w:r>
      <w:r>
        <w:rPr>
          <w:rFonts w:hint="eastAsia" w:ascii="仿宋_GB2312" w:hAnsi="仿宋_GB2312" w:eastAsia="仿宋_GB2312" w:cs="仿宋_GB2312"/>
          <w:color w:val="auto"/>
          <w:sz w:val="32"/>
          <w:szCs w:val="32"/>
        </w:rPr>
        <w:t>元，公务接待费占年初预算安排数</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无公务用车购置及运行维护</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color w:val="auto"/>
          <w:sz w:val="32"/>
          <w:szCs w:val="32"/>
          <w:lang w:val="en-US" w:eastAsia="zh-CN"/>
        </w:rPr>
        <w:t>有效的控制了“三公经费”的支出。</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10" w:leftChars="0" w:right="0" w:firstLine="640" w:firstLineChars="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政府性基金预算支出情况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320" w:firstLineChars="1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本单位2023年度无</w:t>
      </w:r>
      <w:r>
        <w:rPr>
          <w:rFonts w:hint="eastAsia" w:ascii="仿宋_GB2312" w:hAnsi="仿宋_GB2312" w:eastAsia="仿宋_GB2312" w:cs="仿宋_GB2312"/>
          <w:color w:val="auto"/>
          <w:sz w:val="32"/>
          <w:szCs w:val="32"/>
        </w:rPr>
        <w:t>政府性基金预算支出</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10" w:leftChars="0" w:right="0" w:firstLine="640" w:firstLineChars="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国有资本经营预算支出情况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本单位2023年度国有资本经营预算支出</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10" w:leftChars="0" w:right="0" w:firstLine="640" w:firstLineChars="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社会保险基金预算支出情况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630" w:leftChars="0" w:right="0" w:right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本单位2023年度社会保险基金预算支出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六、部门整体支出绩效情况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综合评价结论。</w:t>
      </w:r>
    </w:p>
    <w:p>
      <w:pPr>
        <w:keepNext w:val="0"/>
        <w:keepLines w:val="0"/>
        <w:pageBreakBefore w:val="0"/>
        <w:widowControl w:val="0"/>
        <w:kinsoku/>
        <w:wordWrap/>
        <w:overflowPunct/>
        <w:topLinePunct w:val="0"/>
        <w:autoSpaceDE/>
        <w:bidi w:val="0"/>
        <w:adjustRightInd/>
        <w:snapToGrid/>
        <w:spacing w:line="360" w:lineRule="auto"/>
        <w:ind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eastAsia" w:ascii="仿宋_GB2312" w:hAnsi="仿宋_GB2312" w:eastAsia="仿宋_GB2312" w:cs="仿宋_GB2312"/>
          <w:kern w:val="2"/>
          <w:sz w:val="32"/>
          <w:szCs w:val="32"/>
          <w:lang w:val="en-US" w:eastAsia="zh-CN" w:bidi="ar-SA"/>
        </w:rPr>
        <w:t>经自评，2023年度我单位部门整体支出绩效评价结论为“优”， 自查评分为99分。</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548" w:firstLineChars="200"/>
        <w:rPr>
          <w:rFonts w:hint="default"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评价指标分析</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640" w:firstLineChars="200"/>
        <w:rPr>
          <w:rFonts w:hint="eastAsia" w:ascii="仿宋_GB2312" w:hAnsi="仿宋_GB2312" w:eastAsia="仿宋_GB2312" w:cs="仿宋_GB2312"/>
          <w:color w:val="343233"/>
          <w:kern w:val="0"/>
          <w:sz w:val="32"/>
          <w:szCs w:val="32"/>
          <w:lang w:val="en-US" w:eastAsia="zh-CN" w:bidi="ar-SA"/>
        </w:rPr>
      </w:pPr>
      <w:r>
        <w:rPr>
          <w:rFonts w:hint="eastAsia" w:ascii="仿宋_GB2312" w:hAnsi="仿宋_GB2312" w:eastAsia="仿宋_GB2312" w:cs="仿宋_GB2312"/>
          <w:color w:val="343233"/>
          <w:kern w:val="0"/>
          <w:sz w:val="32"/>
          <w:szCs w:val="32"/>
          <w:lang w:val="en-US" w:eastAsia="zh-CN" w:bidi="ar-SA"/>
        </w:rPr>
        <w:t>202</w:t>
      </w:r>
      <w:r>
        <w:rPr>
          <w:rFonts w:hint="eastAsia" w:ascii="仿宋_GB2312" w:hAnsi="仿宋_GB2312" w:cs="仿宋_GB2312"/>
          <w:color w:val="343233"/>
          <w:kern w:val="0"/>
          <w:sz w:val="32"/>
          <w:szCs w:val="32"/>
          <w:lang w:val="en-US" w:eastAsia="zh-CN" w:bidi="ar-SA"/>
        </w:rPr>
        <w:t>3</w:t>
      </w:r>
      <w:r>
        <w:rPr>
          <w:rFonts w:hint="eastAsia" w:ascii="仿宋_GB2312" w:hAnsi="仿宋_GB2312" w:eastAsia="仿宋_GB2312" w:cs="仿宋_GB2312"/>
          <w:color w:val="343233"/>
          <w:kern w:val="0"/>
          <w:sz w:val="32"/>
          <w:szCs w:val="32"/>
          <w:lang w:val="en-US" w:eastAsia="zh-CN" w:bidi="ar-SA"/>
        </w:rPr>
        <w:t>年部门财政资金支出资金使用符合政策要求，合理合法，使用有效，管理规范。我单位根据年初工作计划和重点性工作，对部门预算绩效管理工作开展情况进行了自查自评，绩效自评覆盖了整个重点支出。全年基本支出保证了部门的正常运行和日常工作的正常开展，项目支出保障了重点工作的实施，积极履职，强化管理，较好的完成了年度工作目标，促进了青少年事业发展工作顺利开展，达到了预期绩效目标，202</w:t>
      </w:r>
      <w:r>
        <w:rPr>
          <w:rFonts w:hint="eastAsia" w:ascii="仿宋_GB2312" w:hAnsi="仿宋_GB2312" w:cs="仿宋_GB2312"/>
          <w:color w:val="343233"/>
          <w:kern w:val="0"/>
          <w:sz w:val="32"/>
          <w:szCs w:val="32"/>
          <w:lang w:val="en-US" w:eastAsia="zh-CN" w:bidi="ar-SA"/>
        </w:rPr>
        <w:t>3</w:t>
      </w:r>
      <w:r>
        <w:rPr>
          <w:rFonts w:hint="eastAsia" w:ascii="仿宋_GB2312" w:hAnsi="仿宋_GB2312" w:eastAsia="仿宋_GB2312" w:cs="仿宋_GB2312"/>
          <w:color w:val="343233"/>
          <w:kern w:val="0"/>
          <w:sz w:val="32"/>
          <w:szCs w:val="32"/>
          <w:lang w:val="en-US" w:eastAsia="zh-CN" w:bidi="ar-SA"/>
        </w:rPr>
        <w:t>年绩效目标全面完成，具体情况如下：</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300"/>
        <w:rPr>
          <w:rFonts w:hint="default" w:ascii="仿宋" w:hAnsi="仿宋" w:eastAsia="仿宋" w:cs="仿宋"/>
          <w:b/>
          <w:bCs/>
          <w:sz w:val="32"/>
          <w:szCs w:val="32"/>
          <w:lang w:val="en-US" w:eastAsia="zh-CN"/>
        </w:rPr>
      </w:pPr>
      <w:r>
        <w:rPr>
          <w:rFonts w:hint="default" w:ascii="仿宋" w:hAnsi="仿宋" w:eastAsia="仿宋" w:cs="仿宋"/>
          <w:b/>
          <w:bCs/>
          <w:sz w:val="32"/>
          <w:szCs w:val="32"/>
          <w:lang w:val="en-US" w:eastAsia="zh-CN"/>
        </w:rPr>
        <w:t>（一）</w:t>
      </w:r>
      <w:r>
        <w:rPr>
          <w:rFonts w:hint="eastAsia" w:ascii="仿宋" w:hAnsi="仿宋" w:eastAsia="仿宋" w:cs="仿宋"/>
          <w:b/>
          <w:bCs/>
          <w:sz w:val="32"/>
          <w:szCs w:val="32"/>
          <w:lang w:val="en-US" w:eastAsia="zh-CN"/>
        </w:rPr>
        <w:t>社会效益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600" w:lineRule="atLeast"/>
        <w:ind w:left="0" w:right="0" w:firstLine="600"/>
        <w:jc w:val="both"/>
        <w:rPr>
          <w:rFonts w:hint="eastAsia" w:ascii="仿宋_GB2312" w:hAnsi="仿宋_GB2312" w:eastAsia="仿宋_GB2312" w:cs="仿宋_GB2312"/>
          <w:color w:val="343233"/>
          <w:kern w:val="0"/>
          <w:sz w:val="32"/>
          <w:szCs w:val="32"/>
          <w:lang w:val="en-US" w:eastAsia="zh-CN" w:bidi="ar-SA"/>
        </w:rPr>
      </w:pPr>
      <w:r>
        <w:rPr>
          <w:rFonts w:hint="eastAsia" w:ascii="仿宋_GB2312" w:hAnsi="仿宋_GB2312" w:eastAsia="仿宋_GB2312" w:cs="仿宋_GB2312"/>
          <w:sz w:val="32"/>
          <w:szCs w:val="32"/>
        </w:rPr>
        <w:t>基本支出经费安排有效地保障了我单位的</w:t>
      </w:r>
      <w:r>
        <w:rPr>
          <w:rFonts w:hint="eastAsia" w:ascii="仿宋_GB2312" w:hAnsi="仿宋_GB2312" w:eastAsia="仿宋_GB2312" w:cs="仿宋_GB2312"/>
          <w:sz w:val="32"/>
          <w:szCs w:val="32"/>
          <w:lang w:eastAsia="zh-CN"/>
        </w:rPr>
        <w:t>干部职工福利待遇及</w:t>
      </w:r>
      <w:r>
        <w:rPr>
          <w:rFonts w:hint="eastAsia" w:ascii="仿宋_GB2312" w:hAnsi="仿宋_GB2312" w:eastAsia="仿宋_GB2312" w:cs="仿宋_GB2312"/>
          <w:sz w:val="32"/>
          <w:szCs w:val="32"/>
        </w:rPr>
        <w:t>正常行政运行；项目经费</w:t>
      </w:r>
      <w:r>
        <w:rPr>
          <w:rFonts w:hint="eastAsia" w:ascii="仿宋_GB2312" w:hAnsi="仿宋_GB2312" w:eastAsia="仿宋_GB2312" w:cs="仿宋_GB2312"/>
          <w:sz w:val="32"/>
          <w:szCs w:val="32"/>
          <w:lang w:val="en-US" w:eastAsia="zh-CN"/>
        </w:rPr>
        <w:t>以促进妇女儿童发展为目标，以全面实施妇女儿童发展规划为主线，积极贯彻落实男女平等基本国策和儿童优先原则，大力实施妇女儿童发展纲要，努力推动妇女儿童与经济、社会协调同步发展。强化公共服务，促进妇女身心健康发展，优化妇女儿童社会环境和女性发展平台，加强未成年人思想道德建设和宣传引导，营造妇女儿童发展良好氛围。</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3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 w:hAnsi="仿宋" w:eastAsia="仿宋" w:cs="仿宋"/>
          <w:b/>
          <w:bCs/>
          <w:sz w:val="32"/>
          <w:szCs w:val="32"/>
          <w:lang w:val="en-US" w:eastAsia="zh-CN"/>
        </w:rPr>
        <w:t>（二）可持续性影响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14:textFill>
            <w14:solidFill>
              <w14:schemeClr w14:val="tx1"/>
            </w14:solidFill>
          </w14:textFill>
        </w:rPr>
        <w:t>年我单位项目效果开展取得了社会的一致认可，改善了服务环境，提高了</w:t>
      </w:r>
      <w:r>
        <w:rPr>
          <w:rFonts w:hint="eastAsia" w:ascii="仿宋_GB2312" w:hAnsi="仿宋_GB2312" w:eastAsia="仿宋_GB2312" w:cs="仿宋_GB2312"/>
          <w:color w:val="000000" w:themeColor="text1"/>
          <w:sz w:val="32"/>
          <w:szCs w:val="32"/>
          <w:lang w:eastAsia="zh-CN"/>
          <w14:textFill>
            <w14:solidFill>
              <w14:schemeClr w14:val="tx1"/>
            </w14:solidFill>
          </w14:textFill>
        </w:rPr>
        <w:t>妇女儿童</w:t>
      </w:r>
      <w:r>
        <w:rPr>
          <w:rFonts w:hint="eastAsia" w:ascii="仿宋_GB2312" w:hAnsi="仿宋_GB2312" w:eastAsia="仿宋_GB2312" w:cs="仿宋_GB2312"/>
          <w:color w:val="000000" w:themeColor="text1"/>
          <w:sz w:val="32"/>
          <w:szCs w:val="32"/>
          <w14:textFill>
            <w14:solidFill>
              <w14:schemeClr w14:val="tx1"/>
            </w14:solidFill>
          </w14:textFill>
        </w:rPr>
        <w:t>的综合素质，有效引领了</w:t>
      </w:r>
      <w:r>
        <w:rPr>
          <w:rFonts w:hint="eastAsia" w:ascii="仿宋_GB2312" w:hAnsi="仿宋_GB2312" w:eastAsia="仿宋_GB2312" w:cs="仿宋_GB2312"/>
          <w:color w:val="000000" w:themeColor="text1"/>
          <w:sz w:val="32"/>
          <w:szCs w:val="32"/>
          <w:lang w:eastAsia="zh-CN"/>
          <w14:textFill>
            <w14:solidFill>
              <w14:schemeClr w14:val="tx1"/>
            </w14:solidFill>
          </w14:textFill>
        </w:rPr>
        <w:t>妇女儿童</w:t>
      </w:r>
      <w:r>
        <w:rPr>
          <w:rFonts w:hint="eastAsia" w:ascii="仿宋_GB2312" w:hAnsi="仿宋_GB2312" w:eastAsia="仿宋_GB2312" w:cs="仿宋_GB2312"/>
          <w:color w:val="000000" w:themeColor="text1"/>
          <w:sz w:val="32"/>
          <w:szCs w:val="32"/>
          <w14:textFill>
            <w14:solidFill>
              <w14:schemeClr w14:val="tx1"/>
            </w14:solidFill>
          </w14:textFill>
        </w:rPr>
        <w:t>思想，树立了正确的价值观、人生观、世界观</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3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（四）社会公众或服务对象满意度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eastAsia="楷体_GB2312" w:cs="楷体_GB2312"/>
          <w:i w:val="0"/>
          <w:iCs w:val="0"/>
          <w:caps w:val="0"/>
          <w:color w:val="000000"/>
          <w:spacing w:val="0"/>
          <w:sz w:val="32"/>
          <w:szCs w:val="32"/>
        </w:rPr>
      </w:pPr>
      <w:r>
        <w:rPr>
          <w:rFonts w:hint="eastAsia" w:ascii="仿宋_GB2312" w:eastAsia="仿宋_GB2312"/>
          <w:sz w:val="32"/>
          <w:szCs w:val="32"/>
          <w:lang w:val="en-US" w:eastAsia="zh-CN"/>
        </w:rPr>
        <w:t>对</w:t>
      </w:r>
      <w:r>
        <w:rPr>
          <w:rFonts w:hint="eastAsia" w:ascii="仿宋_GB2312" w:hAnsi="仿宋_GB2312" w:eastAsia="仿宋_GB2312" w:cs="仿宋_GB2312"/>
          <w:color w:val="000000" w:themeColor="text1"/>
          <w:sz w:val="32"/>
          <w:szCs w:val="32"/>
          <w14:textFill>
            <w14:solidFill>
              <w14:schemeClr w14:val="tx1"/>
            </w14:solidFill>
          </w14:textFill>
        </w:rPr>
        <w:t>青少年</w:t>
      </w:r>
      <w:r>
        <w:rPr>
          <w:rFonts w:hint="eastAsia" w:ascii="仿宋_GB2312" w:eastAsia="仿宋_GB2312"/>
          <w:sz w:val="32"/>
          <w:szCs w:val="32"/>
          <w:lang w:val="en-US" w:eastAsia="zh-CN"/>
        </w:rPr>
        <w:t>服务对象进行访问，对政策及服务</w:t>
      </w:r>
      <w:r>
        <w:rPr>
          <w:rFonts w:hint="eastAsia" w:ascii="仿宋_GB2312" w:hAnsi="仿宋_GB2312" w:eastAsia="仿宋_GB2312" w:cs="仿宋_GB2312"/>
          <w:color w:val="000000" w:themeColor="text1"/>
          <w:sz w:val="32"/>
          <w:szCs w:val="32"/>
          <w14:textFill>
            <w14:solidFill>
              <w14:schemeClr w14:val="tx1"/>
            </w14:solidFill>
          </w14:textFill>
        </w:rPr>
        <w:t>满意率达到9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%以上。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七、存在的问题及原因分析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lang w:val="en-US" w:eastAsia="zh-CN"/>
        </w:rPr>
        <w:t>绩效目标编制有待进一步完善。项目单位编制的绩效目标缺乏成本目标，完善绩效目标的编制，在编制绩效目标时对绩效指标进行量化，设立、清晰、具体可以衡量的绩效目标，以便于进行绩效考核。</w:t>
      </w:r>
      <w:r>
        <w:rPr>
          <w:rFonts w:hint="eastAsia" w:ascii="仿宋" w:hAnsi="仿宋" w:eastAsia="仿宋"/>
          <w:color w:val="auto"/>
          <w:sz w:val="32"/>
          <w:szCs w:val="32"/>
        </w:rPr>
        <w:t xml:space="preserve"> </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下一步改进措施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1.进一步健全和完善财务管理制度及内部控制制度，创新管理手段，用新思路，新方法，改进完善财务管理方法。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仿宋" w:hAnsi="仿宋" w:eastAsia="仿宋"/>
          <w:color w:val="auto"/>
          <w:sz w:val="32"/>
          <w:szCs w:val="32"/>
          <w:lang w:val="en-US" w:eastAsia="zh-CN"/>
        </w:rPr>
        <w:t>2.按照财政支出绩效管理的要求，建立科学的财政资金效益考评制度体系，不断提高财政资金使用管理的水平和效率。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Times New Roman" w:hAnsi="Times New Roman" w:cs="Times New Roman"/>
          <w:i w:val="0"/>
          <w:iCs w:val="0"/>
          <w:caps w:val="0"/>
          <w:color w:val="000000"/>
          <w:spacing w:val="0"/>
          <w:sz w:val="24"/>
          <w:szCs w:val="24"/>
        </w:rPr>
      </w:pPr>
      <w:r>
        <w:rPr>
          <w:rFonts w:hint="eastAsia" w:ascii="黑体" w:hAnsi="黑体" w:eastAsia="黑体" w:cs="黑体"/>
          <w:i w:val="0"/>
          <w:iCs w:val="0"/>
          <w:caps w:val="0"/>
          <w:color w:val="000000"/>
          <w:spacing w:val="0"/>
          <w:sz w:val="32"/>
          <w:szCs w:val="32"/>
          <w:shd w:val="clear" w:color="auto" w:fill="FFFFFF"/>
        </w:rPr>
        <w:t>九、其他需要说明的情况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报告包括以下附件：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eastAsia="仿宋_GB2312" w:cs="仿宋_GB2312"/>
          <w:i w:val="0"/>
          <w:iCs w:val="0"/>
          <w:caps w:val="0"/>
          <w:color w:val="000000"/>
          <w:spacing w:val="0"/>
          <w:sz w:val="32"/>
          <w:szCs w:val="32"/>
          <w:shd w:val="clear" w:color="auto" w:fill="FFFFFF"/>
          <w:lang w:val="en-US" w:eastAsia="zh-CN"/>
        </w:rPr>
        <w:t>1.</w:t>
      </w:r>
      <w:r>
        <w:rPr>
          <w:rFonts w:hint="default" w:ascii="仿宋_GB2312" w:eastAsia="仿宋_GB2312" w:cs="仿宋_GB2312"/>
          <w:i w:val="0"/>
          <w:iCs w:val="0"/>
          <w:caps w:val="0"/>
          <w:color w:val="000000"/>
          <w:spacing w:val="0"/>
          <w:sz w:val="32"/>
          <w:szCs w:val="32"/>
          <w:shd w:val="clear" w:color="auto" w:fill="FFFFFF"/>
        </w:rPr>
        <w:t>部门整体支出绩效评价基础数据表</w:t>
      </w:r>
      <w:r>
        <w:rPr>
          <w:rFonts w:hint="eastAsia" w:ascii="仿宋_GB2312" w:eastAsia="仿宋_GB2312" w:cs="仿宋_GB2312"/>
          <w:i w:val="0"/>
          <w:iCs w:val="0"/>
          <w:caps w:val="0"/>
          <w:color w:val="000000"/>
          <w:spacing w:val="0"/>
          <w:sz w:val="32"/>
          <w:szCs w:val="32"/>
          <w:shd w:val="clear" w:color="auto" w:fill="FFFFFF"/>
          <w:lang w:val="en-US" w:eastAsia="zh-CN"/>
        </w:rPr>
        <w:t xml:space="preserve">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pPr>
      <w:r>
        <w:rPr>
          <w:rFonts w:hint="eastAsia" w:ascii="仿宋_GB2312" w:eastAsia="仿宋_GB2312" w:cs="仿宋_GB2312"/>
          <w:i w:val="0"/>
          <w:iCs w:val="0"/>
          <w:caps w:val="0"/>
          <w:color w:val="000000"/>
          <w:spacing w:val="0"/>
          <w:sz w:val="32"/>
          <w:szCs w:val="32"/>
          <w:shd w:val="clear" w:color="auto" w:fill="FFFFFF"/>
          <w:lang w:val="en-US" w:eastAsia="zh-CN"/>
        </w:rPr>
        <w:t>2.</w:t>
      </w:r>
      <w:r>
        <w:rPr>
          <w:rFonts w:hint="default" w:ascii="仿宋_GB2312" w:eastAsia="仿宋_GB2312" w:cs="仿宋_GB2312"/>
          <w:i w:val="0"/>
          <w:iCs w:val="0"/>
          <w:caps w:val="0"/>
          <w:color w:val="000000"/>
          <w:spacing w:val="0"/>
          <w:sz w:val="32"/>
          <w:szCs w:val="32"/>
          <w:shd w:val="clear" w:color="auto" w:fill="FFFFFF"/>
        </w:rPr>
        <w:t>部门整体支出绩效自评表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095F5"/>
    <w:multiLevelType w:val="singleLevel"/>
    <w:tmpl w:val="022095F5"/>
    <w:lvl w:ilvl="0" w:tentative="0">
      <w:start w:val="2"/>
      <w:numFmt w:val="decimal"/>
      <w:lvlText w:val="%1."/>
      <w:lvlJc w:val="left"/>
      <w:pPr>
        <w:tabs>
          <w:tab w:val="left" w:pos="312"/>
        </w:tabs>
      </w:pPr>
    </w:lvl>
  </w:abstractNum>
  <w:abstractNum w:abstractNumId="1">
    <w:nsid w:val="19599744"/>
    <w:multiLevelType w:val="singleLevel"/>
    <w:tmpl w:val="19599744"/>
    <w:lvl w:ilvl="0" w:tentative="0">
      <w:start w:val="2"/>
      <w:numFmt w:val="chineseCounting"/>
      <w:suff w:val="nothing"/>
      <w:lvlText w:val="（%1）"/>
      <w:lvlJc w:val="left"/>
      <w:rPr>
        <w:rFonts w:hint="eastAsia"/>
      </w:rPr>
    </w:lvl>
  </w:abstractNum>
  <w:abstractNum w:abstractNumId="2">
    <w:nsid w:val="49A5DEA6"/>
    <w:multiLevelType w:val="singleLevel"/>
    <w:tmpl w:val="49A5DEA6"/>
    <w:lvl w:ilvl="0" w:tentative="0">
      <w:start w:val="2"/>
      <w:numFmt w:val="chineseCounting"/>
      <w:suff w:val="nothing"/>
      <w:lvlText w:val="（%1）"/>
      <w:lvlJc w:val="left"/>
      <w:rPr>
        <w:rFonts w:hint="eastAsia"/>
      </w:rPr>
    </w:lvl>
  </w:abstractNum>
  <w:abstractNum w:abstractNumId="3">
    <w:nsid w:val="4AF5A0B8"/>
    <w:multiLevelType w:val="singleLevel"/>
    <w:tmpl w:val="4AF5A0B8"/>
    <w:lvl w:ilvl="0" w:tentative="0">
      <w:start w:val="3"/>
      <w:numFmt w:val="chineseCounting"/>
      <w:suff w:val="nothing"/>
      <w:lvlText w:val="%1、"/>
      <w:lvlJc w:val="left"/>
      <w:pPr>
        <w:ind w:left="-10"/>
      </w:pPr>
      <w:rPr>
        <w:rFonts w:hint="eastAsia"/>
      </w:rPr>
    </w:lvl>
  </w:abstractNum>
  <w:abstractNum w:abstractNumId="4">
    <w:nsid w:val="6CD41700"/>
    <w:multiLevelType w:val="singleLevel"/>
    <w:tmpl w:val="6CD41700"/>
    <w:lvl w:ilvl="0" w:tentative="0">
      <w:start w:val="8"/>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lOGVkNzBkZWNmYWU2ZTgxMzVmY2YxNjdmMDMwYjAifQ=="/>
  </w:docVars>
  <w:rsids>
    <w:rsidRoot w:val="00000000"/>
    <w:rsid w:val="00E46AD2"/>
    <w:rsid w:val="01FA65AD"/>
    <w:rsid w:val="034C0F08"/>
    <w:rsid w:val="06242FB8"/>
    <w:rsid w:val="09B039F5"/>
    <w:rsid w:val="0B3C7C36"/>
    <w:rsid w:val="0B5C3E34"/>
    <w:rsid w:val="17FFBE1D"/>
    <w:rsid w:val="1C2A7770"/>
    <w:rsid w:val="1E03430E"/>
    <w:rsid w:val="25BF7042"/>
    <w:rsid w:val="2B6C1A1A"/>
    <w:rsid w:val="2BE55328"/>
    <w:rsid w:val="2F262D13"/>
    <w:rsid w:val="342C7F98"/>
    <w:rsid w:val="343F2244"/>
    <w:rsid w:val="35FBA5A7"/>
    <w:rsid w:val="36DD1A1E"/>
    <w:rsid w:val="36F31241"/>
    <w:rsid w:val="38FF3ECD"/>
    <w:rsid w:val="3942200C"/>
    <w:rsid w:val="39534F74"/>
    <w:rsid w:val="3AA34D2C"/>
    <w:rsid w:val="3FEFED69"/>
    <w:rsid w:val="40DE261A"/>
    <w:rsid w:val="41AC2719"/>
    <w:rsid w:val="451A5BEB"/>
    <w:rsid w:val="4E797E26"/>
    <w:rsid w:val="4F2B12E0"/>
    <w:rsid w:val="60512BA9"/>
    <w:rsid w:val="60600E46"/>
    <w:rsid w:val="60FD6695"/>
    <w:rsid w:val="643D4406"/>
    <w:rsid w:val="6773320D"/>
    <w:rsid w:val="67B54588"/>
    <w:rsid w:val="6E785F23"/>
    <w:rsid w:val="6EB505AF"/>
    <w:rsid w:val="737C169B"/>
    <w:rsid w:val="78AF606F"/>
    <w:rsid w:val="7A8D418E"/>
    <w:rsid w:val="7C5533D1"/>
    <w:rsid w:val="7CEA32F9"/>
    <w:rsid w:val="7D2D5B30"/>
    <w:rsid w:val="9F2F903A"/>
    <w:rsid w:val="AF37169C"/>
    <w:rsid w:val="BD5AB31E"/>
    <w:rsid w:val="F75F7B93"/>
    <w:rsid w:val="F7FF69A4"/>
    <w:rsid w:val="FBDFD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99"/>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BodyText1I2"/>
    <w:basedOn w:val="7"/>
    <w:next w:val="1"/>
    <w:unhideWhenUsed/>
    <w:qFormat/>
    <w:uiPriority w:val="0"/>
    <w:pPr>
      <w:ind w:firstLine="200" w:firstLineChars="200"/>
    </w:pPr>
    <w:rPr>
      <w:rFonts w:hint="default" w:ascii="Calibri" w:hAnsi="Calibri" w:eastAsia="仿宋_GB2312"/>
      <w:sz w:val="36"/>
    </w:rPr>
  </w:style>
  <w:style w:type="paragraph" w:customStyle="1" w:styleId="7">
    <w:name w:val="BodyTextIndent"/>
    <w:basedOn w:val="1"/>
    <w:unhideWhenUsed/>
    <w:qFormat/>
    <w:uiPriority w:val="0"/>
    <w:pPr>
      <w:spacing w:after="120"/>
      <w:ind w:left="420" w:leftChars="200"/>
      <w:textAlignment w:val="baseline"/>
    </w:pPr>
    <w:rPr>
      <w:rFonts w:hint="eastAsia"/>
      <w:sz w:val="21"/>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1056</Words>
  <Characters>1060</Characters>
  <Lines>0</Lines>
  <Paragraphs>0</Paragraphs>
  <TotalTime>15</TotalTime>
  <ScaleCrop>false</ScaleCrop>
  <LinksUpToDate>false</LinksUpToDate>
  <CharactersWithSpaces>1062</CharactersWithSpaces>
  <Application>WPS Office_11.8.2.11763_F1E327BC-269C-435d-A152-05C5408002CA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2024-08-12T12:07:00Z</dcterms:created>
  <dc:creator>林炳臣</dc:creator>
  <cp:lastModifiedBy>greatwall</cp:lastModifiedBy>
  <dcterms:modified xsi:type="dcterms:W3CDTF">2024-09-06T11:44:40Z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C400BBEC94374E0B832D75184F8CC5E1_12</vt:lpwstr>
  </property>
</Properties>
</file>