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D408D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both"/>
        <w:rPr>
          <w:rFonts w:hint="eastAsia" w:ascii="仿宋_GB2312" w:hAnsi="仿宋_GB2312" w:eastAsia="仿宋_GB2312" w:cs="仿宋_GB2312"/>
          <w:i w:val="0"/>
          <w:iCs w:val="0"/>
          <w:caps w:val="0"/>
          <w:color w:val="000000"/>
          <w:spacing w:val="0"/>
          <w:sz w:val="32"/>
          <w:szCs w:val="32"/>
          <w:shd w:val="clear" w:color="auto" w:fill="FFFFFF"/>
          <w:lang w:val="en-US" w:eastAsia="zh-CN"/>
        </w:rPr>
      </w:pPr>
      <w:r>
        <w:rPr>
          <w:rFonts w:hint="eastAsia" w:ascii="仿宋_GB2312" w:hAnsi="仿宋_GB2312" w:eastAsia="仿宋_GB2312" w:cs="仿宋_GB2312"/>
          <w:i w:val="0"/>
          <w:iCs w:val="0"/>
          <w:caps w:val="0"/>
          <w:color w:val="000000"/>
          <w:spacing w:val="0"/>
          <w:sz w:val="32"/>
          <w:szCs w:val="32"/>
          <w:shd w:val="clear" w:color="auto" w:fill="FFFFFF"/>
          <w:lang w:val="en-US" w:eastAsia="zh-CN"/>
        </w:rPr>
        <w:t>附件1</w:t>
      </w:r>
    </w:p>
    <w:p w14:paraId="54FD805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0"/>
        <w:jc w:val="center"/>
        <w:textAlignment w:val="auto"/>
        <w:rPr>
          <w:rFonts w:ascii="方正小标宋_GBK" w:hAnsi="方正小标宋_GBK" w:eastAsia="方正小标宋_GBK" w:cs="方正小标宋_GBK"/>
          <w:i w:val="0"/>
          <w:iCs w:val="0"/>
          <w:caps w:val="0"/>
          <w:color w:val="000000"/>
          <w:spacing w:val="0"/>
          <w:sz w:val="44"/>
          <w:szCs w:val="44"/>
        </w:rPr>
      </w:pPr>
      <w:r>
        <w:rPr>
          <w:rFonts w:hint="eastAsia" w:ascii="方正小标宋_GBK" w:hAnsi="方正小标宋_GBK" w:eastAsia="方正小标宋_GBK" w:cs="方正小标宋_GBK"/>
          <w:i w:val="0"/>
          <w:iCs w:val="0"/>
          <w:caps w:val="0"/>
          <w:color w:val="000000"/>
          <w:spacing w:val="0"/>
          <w:sz w:val="44"/>
          <w:szCs w:val="44"/>
          <w:shd w:val="clear" w:color="auto" w:fill="FFFFFF"/>
        </w:rPr>
        <w:t>部门整体支出绩效自评报告</w:t>
      </w:r>
    </w:p>
    <w:p w14:paraId="51241D3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0"/>
        <w:jc w:val="center"/>
        <w:textAlignment w:val="auto"/>
        <w:rPr>
          <w:rFonts w:ascii="仿宋_GB2312" w:eastAsia="仿宋_GB2312" w:cs="仿宋_GB2312"/>
          <w:i w:val="0"/>
          <w:iCs w:val="0"/>
          <w:caps w:val="0"/>
          <w:color w:val="000000"/>
          <w:spacing w:val="0"/>
          <w:sz w:val="24"/>
          <w:szCs w:val="24"/>
        </w:rPr>
      </w:pPr>
    </w:p>
    <w:p w14:paraId="4EA4C96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0"/>
        <w:jc w:val="center"/>
        <w:textAlignment w:val="auto"/>
        <w:rPr>
          <w:rFonts w:ascii="仿宋_GB2312" w:eastAsia="仿宋_GB2312" w:cs="仿宋_GB2312"/>
          <w:i w:val="0"/>
          <w:iCs w:val="0"/>
          <w:caps w:val="0"/>
          <w:color w:val="000000"/>
          <w:spacing w:val="0"/>
          <w:sz w:val="24"/>
          <w:szCs w:val="24"/>
        </w:rPr>
      </w:pPr>
    </w:p>
    <w:p w14:paraId="57D187F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黑体" w:hAnsi="黑体" w:eastAsia="黑体" w:cs="黑体"/>
          <w:i w:val="0"/>
          <w:iCs w:val="0"/>
          <w:caps w:val="0"/>
          <w:color w:val="000000"/>
          <w:spacing w:val="0"/>
          <w:sz w:val="32"/>
          <w:szCs w:val="32"/>
        </w:rPr>
      </w:pPr>
      <w:r>
        <w:rPr>
          <w:rFonts w:hint="eastAsia" w:ascii="黑体" w:hAnsi="黑体" w:eastAsia="黑体" w:cs="黑体"/>
          <w:i w:val="0"/>
          <w:iCs w:val="0"/>
          <w:caps w:val="0"/>
          <w:color w:val="000000"/>
          <w:spacing w:val="0"/>
          <w:sz w:val="32"/>
          <w:szCs w:val="32"/>
          <w:shd w:val="clear" w:color="auto" w:fill="FFFFFF"/>
        </w:rPr>
        <w:t>一、部门、单位基本情况</w:t>
      </w:r>
    </w:p>
    <w:p w14:paraId="7143A39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eastAsia="楷体_GB2312" w:cs="楷体_GB2312"/>
          <w:i w:val="0"/>
          <w:iCs w:val="0"/>
          <w:caps w:val="0"/>
          <w:color w:val="000000"/>
          <w:spacing w:val="-23"/>
          <w:sz w:val="32"/>
          <w:szCs w:val="32"/>
          <w:shd w:val="clear" w:color="auto" w:fill="FFFFFF"/>
        </w:rPr>
        <w:t>（一）</w:t>
      </w:r>
      <w:r>
        <w:rPr>
          <w:rFonts w:hint="default" w:ascii="楷体_GB2312" w:eastAsia="楷体_GB2312" w:cs="楷体_GB2312"/>
          <w:i w:val="0"/>
          <w:iCs w:val="0"/>
          <w:caps w:val="0"/>
          <w:color w:val="000000"/>
          <w:spacing w:val="0"/>
          <w:sz w:val="32"/>
          <w:szCs w:val="32"/>
          <w:shd w:val="clear" w:color="auto" w:fill="FFFFFF"/>
        </w:rPr>
        <w:t>机构设置情况</w:t>
      </w:r>
    </w:p>
    <w:p w14:paraId="6F6F7AA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eastAsia" w:ascii="仿宋" w:hAnsi="仿宋" w:eastAsia="仿宋" w:cs="仿宋"/>
          <w:sz w:val="32"/>
          <w:szCs w:val="32"/>
          <w:lang w:eastAsia="zh-CN"/>
        </w:rPr>
        <w:t>会同县就业服务中心</w:t>
      </w:r>
      <w:r>
        <w:rPr>
          <w:rFonts w:hint="eastAsia" w:ascii="仿宋" w:hAnsi="仿宋" w:eastAsia="仿宋" w:cs="仿宋"/>
          <w:sz w:val="32"/>
          <w:szCs w:val="32"/>
        </w:rPr>
        <w:t>是隶属于会同县人力资源和和社会保障局的副科级事业单位，</w:t>
      </w:r>
      <w:r>
        <w:rPr>
          <w:rFonts w:hint="eastAsia" w:ascii="仿宋" w:hAnsi="仿宋" w:eastAsia="仿宋" w:cs="仿宋"/>
          <w:i w:val="0"/>
          <w:caps w:val="0"/>
          <w:color w:val="auto"/>
          <w:spacing w:val="0"/>
          <w:sz w:val="32"/>
          <w:szCs w:val="32"/>
          <w:shd w:val="clear" w:fill="FFFFFF"/>
          <w:lang w:eastAsia="zh-CN"/>
        </w:rPr>
        <w:t>有综合部、财务部、城镇社区就业部、农村</w:t>
      </w:r>
      <w:bookmarkStart w:id="0" w:name="_GoBack"/>
      <w:bookmarkEnd w:id="0"/>
      <w:r>
        <w:rPr>
          <w:rFonts w:hint="eastAsia" w:ascii="仿宋" w:hAnsi="仿宋" w:eastAsia="仿宋" w:cs="仿宋"/>
          <w:i w:val="0"/>
          <w:caps w:val="0"/>
          <w:color w:val="auto"/>
          <w:spacing w:val="0"/>
          <w:sz w:val="32"/>
          <w:szCs w:val="32"/>
          <w:shd w:val="clear" w:fill="FFFFFF"/>
          <w:lang w:eastAsia="zh-CN"/>
        </w:rPr>
        <w:t>就业部、培训部、失业保险部、创业贷款担保部、职业技能鉴定部</w:t>
      </w:r>
      <w:r>
        <w:rPr>
          <w:rFonts w:hint="eastAsia" w:ascii="仿宋" w:hAnsi="仿宋" w:eastAsia="仿宋" w:cs="仿宋"/>
          <w:i w:val="0"/>
          <w:caps w:val="0"/>
          <w:color w:val="auto"/>
          <w:spacing w:val="0"/>
          <w:sz w:val="32"/>
          <w:szCs w:val="32"/>
          <w:shd w:val="clear" w:fill="FFFFFF"/>
          <w:lang w:val="en-US" w:eastAsia="zh-CN"/>
        </w:rPr>
        <w:t>8个内设职能股室。</w:t>
      </w:r>
    </w:p>
    <w:p w14:paraId="32B41B43">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eastAsia="楷体_GB2312" w:cs="楷体_GB2312"/>
          <w:i w:val="0"/>
          <w:iCs w:val="0"/>
          <w:caps w:val="0"/>
          <w:color w:val="000000"/>
          <w:spacing w:val="0"/>
          <w:sz w:val="32"/>
          <w:szCs w:val="32"/>
          <w:shd w:val="clear" w:color="auto" w:fill="FFFFFF"/>
        </w:rPr>
        <w:t>人员编制情况</w:t>
      </w:r>
    </w:p>
    <w:p w14:paraId="1FA714E6">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rightChars="0" w:firstLine="640" w:firstLineChars="200"/>
        <w:textAlignment w:val="auto"/>
        <w:rPr>
          <w:rFonts w:hint="eastAsia" w:ascii="楷体_GB2312" w:eastAsia="楷体_GB2312" w:cs="楷体_GB2312"/>
          <w:i w:val="0"/>
          <w:iCs w:val="0"/>
          <w:caps w:val="0"/>
          <w:color w:val="000000"/>
          <w:spacing w:val="0"/>
          <w:sz w:val="32"/>
          <w:szCs w:val="32"/>
          <w:shd w:val="clear" w:color="auto" w:fill="FFFFFF"/>
          <w:lang w:val="en-US" w:eastAsia="zh-CN"/>
        </w:rPr>
      </w:pPr>
      <w:r>
        <w:rPr>
          <w:rFonts w:hint="eastAsia" w:ascii="仿宋" w:hAnsi="仿宋" w:eastAsia="仿宋" w:cs="仿宋"/>
          <w:i w:val="0"/>
          <w:caps w:val="0"/>
          <w:color w:val="auto"/>
          <w:spacing w:val="0"/>
          <w:sz w:val="32"/>
          <w:szCs w:val="32"/>
          <w:shd w:val="clear" w:fill="FFFFFF"/>
          <w:lang w:val="en-US" w:eastAsia="zh-CN"/>
        </w:rPr>
        <w:t>现有编制24名（包括全额拨款事业编制8名，自收自支事业编制16名），在职人数17人，其中全额拨款3人，自收自支14人，离、退休人员15人。</w:t>
      </w:r>
    </w:p>
    <w:p w14:paraId="0018AD8C">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leftChars="0" w:right="0" w:firstLine="640"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eastAsia="楷体_GB2312" w:cs="楷体_GB2312"/>
          <w:i w:val="0"/>
          <w:iCs w:val="0"/>
          <w:caps w:val="0"/>
          <w:color w:val="000000"/>
          <w:spacing w:val="0"/>
          <w:sz w:val="32"/>
          <w:szCs w:val="32"/>
          <w:shd w:val="clear" w:color="auto" w:fill="FFFFFF"/>
        </w:rPr>
        <w:t>主要职能职责</w:t>
      </w:r>
    </w:p>
    <w:p w14:paraId="1BFAA65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eastAsia" w:ascii="仿宋" w:hAnsi="仿宋" w:eastAsia="仿宋" w:cs="仿宋"/>
          <w:i w:val="0"/>
          <w:caps w:val="0"/>
          <w:color w:val="auto"/>
          <w:spacing w:val="0"/>
          <w:sz w:val="32"/>
          <w:szCs w:val="32"/>
          <w:shd w:val="clear" w:fill="FFFFFF"/>
          <w:lang w:val="en-US" w:eastAsia="zh-CN"/>
        </w:rPr>
        <w:t>负责促进就业、创业带动就业、职业技能培训和创业培训、失业保险及县直企事业等单位失业保险经办与就业失业统计分析及监测等工作。</w:t>
      </w:r>
    </w:p>
    <w:p w14:paraId="45C8EAF6">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leftChars="0" w:right="0" w:firstLine="640"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eastAsia="楷体_GB2312" w:cs="楷体_GB2312"/>
          <w:i w:val="0"/>
          <w:iCs w:val="0"/>
          <w:caps w:val="0"/>
          <w:color w:val="000000"/>
          <w:spacing w:val="0"/>
          <w:sz w:val="32"/>
          <w:szCs w:val="32"/>
          <w:shd w:val="clear" w:color="auto" w:fill="FFFFFF"/>
        </w:rPr>
        <w:t>绩效目标设定情况</w:t>
      </w:r>
    </w:p>
    <w:p w14:paraId="7263C479">
      <w:pPr>
        <w:keepNext w:val="0"/>
        <w:keepLines w:val="0"/>
        <w:pageBreakBefore w:val="0"/>
        <w:numPr>
          <w:ilvl w:val="0"/>
          <w:numId w:val="0"/>
        </w:numPr>
        <w:kinsoku/>
        <w:wordWrap/>
        <w:overflowPunct/>
        <w:topLinePunct w:val="0"/>
        <w:autoSpaceDE/>
        <w:autoSpaceDN/>
        <w:bidi w:val="0"/>
        <w:adjustRightInd/>
        <w:snapToGrid w:val="0"/>
        <w:spacing w:line="520" w:lineRule="exact"/>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确保全县就业服务工作的正常运转，为全县居民提供及时、方便、全面的就业服务，增加人民群众的经济收入，减少贫困率的发生,巩固脱贫成效，维护社会的和谐稳定。技能培训1500人、农村劳动力转移就业2000人，创业培训200人，失业金审核发放正确、及时率100%。</w:t>
      </w:r>
    </w:p>
    <w:p w14:paraId="244BADA4">
      <w:pPr>
        <w:keepNext w:val="0"/>
        <w:keepLines w:val="0"/>
        <w:pageBreakBefore w:val="0"/>
        <w:numPr>
          <w:ilvl w:val="0"/>
          <w:numId w:val="0"/>
        </w:numPr>
        <w:kinsoku/>
        <w:wordWrap/>
        <w:overflowPunct/>
        <w:topLinePunct w:val="0"/>
        <w:autoSpaceDE/>
        <w:autoSpaceDN/>
        <w:bidi w:val="0"/>
        <w:adjustRightInd/>
        <w:snapToGrid w:val="0"/>
        <w:spacing w:line="520" w:lineRule="exact"/>
        <w:ind w:firstLine="640" w:firstLineChars="200"/>
        <w:textAlignment w:val="auto"/>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二、部门整体支出管理及使用情况</w:t>
      </w:r>
    </w:p>
    <w:p w14:paraId="2BD25FF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textAlignment w:val="auto"/>
        <w:rPr>
          <w:rFonts w:hint="eastAsia" w:ascii="楷体_GB2312" w:eastAsia="楷体_GB2312" w:cs="楷体_GB2312"/>
          <w:i w:val="0"/>
          <w:iCs w:val="0"/>
          <w:caps w:val="0"/>
          <w:color w:val="000000"/>
          <w:spacing w:val="0"/>
          <w:sz w:val="32"/>
          <w:szCs w:val="32"/>
          <w:shd w:val="clear" w:color="auto" w:fill="FFFFFF"/>
        </w:rPr>
      </w:pPr>
      <w:r>
        <w:rPr>
          <w:rFonts w:hint="default" w:ascii="楷体_GB2312" w:hAnsi="Times New Roman" w:eastAsia="楷体_GB2312" w:cs="楷体_GB2312"/>
          <w:i w:val="0"/>
          <w:iCs w:val="0"/>
          <w:caps w:val="0"/>
          <w:color w:val="000000"/>
          <w:spacing w:val="-23"/>
          <w:sz w:val="32"/>
          <w:szCs w:val="32"/>
          <w:shd w:val="clear" w:color="auto" w:fill="FFFFFF"/>
        </w:rPr>
        <w:t>（一）</w:t>
      </w:r>
      <w:r>
        <w:rPr>
          <w:rFonts w:hint="eastAsia" w:ascii="楷体_GB2312" w:eastAsia="楷体_GB2312" w:cs="楷体_GB2312"/>
          <w:i w:val="0"/>
          <w:iCs w:val="0"/>
          <w:caps w:val="0"/>
          <w:color w:val="000000"/>
          <w:spacing w:val="0"/>
          <w:sz w:val="32"/>
          <w:szCs w:val="32"/>
          <w:shd w:val="clear" w:color="auto" w:fill="FFFFFF"/>
        </w:rPr>
        <w:t>预算执行、使用、管理总体情况。</w:t>
      </w:r>
    </w:p>
    <w:p w14:paraId="41C080D0">
      <w:pPr>
        <w:keepNext w:val="0"/>
        <w:keepLines w:val="0"/>
        <w:pageBreakBefore w:val="0"/>
        <w:kinsoku/>
        <w:overflowPunct/>
        <w:topLinePunct w:val="0"/>
        <w:autoSpaceDE/>
        <w:autoSpaceDN/>
        <w:bidi w:val="0"/>
        <w:adjustRightInd/>
        <w:spacing w:line="460" w:lineRule="exact"/>
        <w:ind w:firstLine="643" w:firstLineChars="200"/>
        <w:textAlignment w:val="auto"/>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总收支情况：</w:t>
      </w:r>
      <w:r>
        <w:rPr>
          <w:rFonts w:hint="eastAsia" w:ascii="仿宋" w:hAnsi="仿宋" w:eastAsia="仿宋" w:cs="仿宋"/>
          <w:sz w:val="32"/>
          <w:szCs w:val="32"/>
          <w:lang w:val="en-US" w:eastAsia="zh-CN"/>
        </w:rPr>
        <w:t>2023年本级总收入16011213.75元：其中</w:t>
      </w:r>
      <w:r>
        <w:rPr>
          <w:rFonts w:hint="eastAsia" w:ascii="仿宋" w:hAnsi="仿宋" w:eastAsia="仿宋" w:cs="仿宋"/>
          <w:b w:val="0"/>
          <w:bCs/>
          <w:sz w:val="32"/>
          <w:szCs w:val="32"/>
          <w:lang w:val="en-US" w:eastAsia="zh-CN"/>
        </w:rPr>
        <w:t>一般公共预算财政拨款收入</w:t>
      </w:r>
      <w:r>
        <w:rPr>
          <w:rFonts w:hint="eastAsia" w:ascii="仿宋" w:hAnsi="仿宋" w:eastAsia="仿宋" w:cs="仿宋"/>
          <w:sz w:val="32"/>
          <w:szCs w:val="32"/>
          <w:lang w:val="en-US" w:eastAsia="zh-CN"/>
        </w:rPr>
        <w:t>16011213.75</w:t>
      </w:r>
      <w:r>
        <w:rPr>
          <w:rFonts w:hint="eastAsia" w:ascii="仿宋" w:hAnsi="仿宋" w:eastAsia="仿宋" w:cs="仿宋"/>
          <w:b w:val="0"/>
          <w:bCs/>
          <w:sz w:val="32"/>
          <w:szCs w:val="32"/>
          <w:lang w:val="en-US" w:eastAsia="zh-CN"/>
        </w:rPr>
        <w:t>元。</w:t>
      </w:r>
      <w:r>
        <w:rPr>
          <w:rFonts w:hint="eastAsia" w:ascii="仿宋" w:hAnsi="仿宋" w:eastAsia="仿宋" w:cs="仿宋"/>
          <w:sz w:val="32"/>
          <w:szCs w:val="32"/>
        </w:rPr>
        <w:t>全年实际支出为</w:t>
      </w:r>
      <w:r>
        <w:rPr>
          <w:rFonts w:hint="eastAsia" w:ascii="仿宋" w:hAnsi="仿宋" w:eastAsia="仿宋" w:cs="仿宋"/>
          <w:sz w:val="32"/>
          <w:szCs w:val="32"/>
          <w:lang w:val="en-US" w:eastAsia="zh-CN"/>
        </w:rPr>
        <w:t>16011213.75</w:t>
      </w:r>
      <w:r>
        <w:rPr>
          <w:rFonts w:hint="eastAsia" w:ascii="仿宋" w:hAnsi="仿宋" w:eastAsia="仿宋" w:cs="仿宋"/>
          <w:sz w:val="32"/>
          <w:szCs w:val="32"/>
        </w:rPr>
        <w:t>元</w:t>
      </w:r>
      <w:r>
        <w:rPr>
          <w:rFonts w:hint="eastAsia" w:ascii="仿宋" w:hAnsi="仿宋" w:eastAsia="仿宋" w:cs="仿宋"/>
          <w:sz w:val="32"/>
          <w:szCs w:val="32"/>
          <w:lang w:val="en-US" w:eastAsia="zh-CN"/>
        </w:rPr>
        <w:t>。</w:t>
      </w:r>
    </w:p>
    <w:p w14:paraId="789C1F61">
      <w:pPr>
        <w:keepNext w:val="0"/>
        <w:keepLines w:val="0"/>
        <w:pageBreakBefore w:val="0"/>
        <w:kinsoku/>
        <w:overflowPunct/>
        <w:topLinePunct w:val="0"/>
        <w:autoSpaceDE/>
        <w:autoSpaceDN/>
        <w:bidi w:val="0"/>
        <w:adjustRightInd/>
        <w:spacing w:line="460" w:lineRule="exact"/>
        <w:ind w:firstLine="643" w:firstLineChars="200"/>
        <w:textAlignment w:val="auto"/>
        <w:rPr>
          <w:rFonts w:hint="eastAsia" w:ascii="仿宋" w:hAnsi="仿宋" w:eastAsia="仿宋" w:cs="仿宋"/>
          <w:sz w:val="32"/>
          <w:szCs w:val="32"/>
          <w:lang w:val="en-US"/>
        </w:rPr>
      </w:pPr>
      <w:r>
        <w:rPr>
          <w:rFonts w:hint="eastAsia" w:ascii="仿宋" w:hAnsi="仿宋" w:eastAsia="仿宋" w:cs="仿宋"/>
          <w:b/>
          <w:bCs/>
          <w:sz w:val="32"/>
          <w:szCs w:val="32"/>
          <w:lang w:val="en-US" w:eastAsia="zh-CN"/>
        </w:rPr>
        <w:t>收入方面：</w:t>
      </w:r>
      <w:r>
        <w:rPr>
          <w:rFonts w:hint="eastAsia" w:ascii="仿宋" w:hAnsi="仿宋" w:eastAsia="仿宋" w:cs="仿宋"/>
          <w:sz w:val="32"/>
          <w:szCs w:val="32"/>
        </w:rPr>
        <w:t>在实际执行中，</w:t>
      </w:r>
      <w:r>
        <w:rPr>
          <w:rFonts w:hint="eastAsia" w:ascii="仿宋" w:hAnsi="仿宋" w:eastAsia="仿宋" w:cs="仿宋"/>
          <w:sz w:val="32"/>
          <w:szCs w:val="32"/>
          <w:lang w:val="en-US" w:eastAsia="zh-CN"/>
        </w:rPr>
        <w:t>2023年本级总收入16011213.75元：其中</w:t>
      </w:r>
      <w:r>
        <w:rPr>
          <w:rFonts w:hint="eastAsia" w:ascii="仿宋" w:hAnsi="仿宋" w:eastAsia="仿宋" w:cs="仿宋"/>
          <w:b w:val="0"/>
          <w:bCs/>
          <w:sz w:val="32"/>
          <w:szCs w:val="32"/>
          <w:lang w:val="en-US" w:eastAsia="zh-CN"/>
        </w:rPr>
        <w:t>2023年一般公共预算财政拨款收入</w:t>
      </w:r>
      <w:r>
        <w:rPr>
          <w:rFonts w:hint="eastAsia" w:ascii="仿宋" w:hAnsi="仿宋" w:eastAsia="仿宋" w:cs="仿宋"/>
          <w:sz w:val="32"/>
          <w:szCs w:val="32"/>
          <w:lang w:val="en-US" w:eastAsia="zh-CN"/>
        </w:rPr>
        <w:t>16011213.75</w:t>
      </w:r>
      <w:r>
        <w:rPr>
          <w:rFonts w:hint="eastAsia" w:ascii="仿宋" w:hAnsi="仿宋" w:eastAsia="仿宋" w:cs="仿宋"/>
          <w:b w:val="0"/>
          <w:bCs/>
          <w:sz w:val="32"/>
          <w:szCs w:val="32"/>
          <w:lang w:val="en-US" w:eastAsia="zh-CN"/>
        </w:rPr>
        <w:t>元，</w:t>
      </w:r>
      <w:r>
        <w:rPr>
          <w:rFonts w:hint="eastAsia" w:ascii="仿宋" w:hAnsi="仿宋" w:eastAsia="仿宋" w:cs="仿宋"/>
          <w:sz w:val="32"/>
          <w:szCs w:val="32"/>
        </w:rPr>
        <w:t>本级财政拨入</w:t>
      </w:r>
      <w:r>
        <w:rPr>
          <w:rFonts w:hint="eastAsia" w:ascii="仿宋" w:hAnsi="仿宋" w:eastAsia="仿宋" w:cs="仿宋"/>
          <w:sz w:val="32"/>
          <w:szCs w:val="32"/>
          <w:lang w:val="en-US" w:eastAsia="zh-CN"/>
        </w:rPr>
        <w:t>16011213.75</w:t>
      </w:r>
      <w:r>
        <w:rPr>
          <w:rFonts w:hint="eastAsia" w:ascii="仿宋" w:hAnsi="仿宋" w:eastAsia="仿宋" w:cs="仿宋"/>
          <w:sz w:val="32"/>
          <w:szCs w:val="32"/>
        </w:rPr>
        <w:t>元，比年初预算追加</w:t>
      </w:r>
      <w:r>
        <w:rPr>
          <w:rFonts w:hint="eastAsia" w:ascii="仿宋" w:hAnsi="仿宋" w:eastAsia="仿宋" w:cs="仿宋"/>
          <w:sz w:val="32"/>
          <w:szCs w:val="32"/>
          <w:lang w:val="en-US" w:eastAsia="zh-CN"/>
        </w:rPr>
        <w:t>14142513.75</w:t>
      </w:r>
      <w:r>
        <w:rPr>
          <w:rFonts w:hint="eastAsia" w:ascii="仿宋" w:hAnsi="仿宋" w:eastAsia="仿宋" w:cs="仿宋"/>
          <w:sz w:val="32"/>
          <w:szCs w:val="32"/>
        </w:rPr>
        <w:t>元，主要</w:t>
      </w:r>
      <w:r>
        <w:rPr>
          <w:rFonts w:hint="eastAsia" w:ascii="仿宋" w:hAnsi="仿宋" w:eastAsia="仿宋" w:cs="仿宋"/>
          <w:sz w:val="32"/>
          <w:szCs w:val="32"/>
          <w:lang w:eastAsia="zh-CN"/>
        </w:rPr>
        <w:t>是就业专项资金</w:t>
      </w:r>
      <w:r>
        <w:rPr>
          <w:rFonts w:hint="eastAsia" w:ascii="仿宋" w:hAnsi="仿宋" w:eastAsia="仿宋" w:cs="仿宋"/>
          <w:sz w:val="32"/>
          <w:szCs w:val="32"/>
        </w:rPr>
        <w:t>：</w:t>
      </w:r>
      <w:r>
        <w:rPr>
          <w:rFonts w:hint="eastAsia" w:ascii="仿宋" w:hAnsi="仿宋" w:eastAsia="仿宋" w:cs="仿宋"/>
          <w:sz w:val="32"/>
          <w:szCs w:val="32"/>
          <w:lang w:val="en-US" w:eastAsia="zh-CN"/>
        </w:rPr>
        <w:t>13892724.25元。</w:t>
      </w:r>
    </w:p>
    <w:p w14:paraId="4318C51F">
      <w:pPr>
        <w:keepNext w:val="0"/>
        <w:keepLines w:val="0"/>
        <w:pageBreakBefore w:val="0"/>
        <w:kinsoku/>
        <w:wordWrap/>
        <w:overflowPunct/>
        <w:topLinePunct w:val="0"/>
        <w:autoSpaceDE/>
        <w:autoSpaceDN/>
        <w:bidi w:val="0"/>
        <w:adjustRightInd/>
        <w:spacing w:line="44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sz w:val="32"/>
          <w:szCs w:val="32"/>
        </w:rPr>
        <w:t>支出方面</w:t>
      </w:r>
      <w:r>
        <w:rPr>
          <w:rFonts w:hint="eastAsia" w:ascii="仿宋" w:hAnsi="仿宋" w:eastAsia="仿宋" w:cs="仿宋"/>
          <w:sz w:val="32"/>
          <w:szCs w:val="32"/>
        </w:rPr>
        <w:t>：全年实际支出为</w:t>
      </w:r>
      <w:r>
        <w:rPr>
          <w:rFonts w:hint="eastAsia" w:ascii="仿宋" w:hAnsi="仿宋" w:eastAsia="仿宋" w:cs="仿宋"/>
          <w:sz w:val="32"/>
          <w:szCs w:val="32"/>
          <w:lang w:val="en-US" w:eastAsia="zh-CN"/>
        </w:rPr>
        <w:t>16011213.75</w:t>
      </w:r>
      <w:r>
        <w:rPr>
          <w:rFonts w:hint="eastAsia" w:ascii="仿宋" w:hAnsi="仿宋" w:eastAsia="仿宋" w:cs="仿宋"/>
          <w:sz w:val="32"/>
          <w:szCs w:val="32"/>
        </w:rPr>
        <w:t>元</w:t>
      </w:r>
      <w:r>
        <w:rPr>
          <w:rFonts w:hint="eastAsia" w:ascii="仿宋" w:hAnsi="仿宋" w:eastAsia="仿宋" w:cs="仿宋"/>
          <w:sz w:val="32"/>
          <w:szCs w:val="32"/>
          <w:lang w:eastAsia="zh-CN"/>
        </w:rPr>
        <w:t>，年终</w:t>
      </w:r>
      <w:r>
        <w:rPr>
          <w:rFonts w:hint="eastAsia" w:ascii="仿宋" w:hAnsi="仿宋" w:eastAsia="仿宋" w:cs="仿宋"/>
          <w:sz w:val="32"/>
          <w:szCs w:val="32"/>
          <w:lang w:val="en-US" w:eastAsia="zh-CN"/>
        </w:rPr>
        <w:t>结转和结余0元。</w:t>
      </w:r>
    </w:p>
    <w:p w14:paraId="40695497">
      <w:pPr>
        <w:snapToGrid w:val="0"/>
        <w:spacing w:beforeLines="0" w:afterLines="0" w:line="4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其中基本支出14825213.75元：</w:t>
      </w:r>
    </w:p>
    <w:p w14:paraId="5521628D">
      <w:pPr>
        <w:snapToGrid w:val="0"/>
        <w:spacing w:beforeLines="0" w:afterLines="0" w:line="4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 1 \* GB2 \* MERGEFORMAT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⑴</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、工资福利支出5436931.31元。</w:t>
      </w:r>
    </w:p>
    <w:p w14:paraId="377B6A44">
      <w:pPr>
        <w:snapToGrid w:val="0"/>
        <w:spacing w:beforeLines="0" w:afterLines="0" w:line="4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 2 \* GB2 \* MERGEFORMAT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⑵</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、商品和服务支出9126280.37元。</w:t>
      </w:r>
    </w:p>
    <w:p w14:paraId="3456D360">
      <w:pPr>
        <w:snapToGrid w:val="0"/>
        <w:spacing w:beforeLines="0" w:afterLines="0" w:line="4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 3 \* GB2 \* MERGEFORMAT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⑶</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、对个人和家庭支出262002.07元。</w:t>
      </w:r>
    </w:p>
    <w:p w14:paraId="72A2CE38">
      <w:pPr>
        <w:snapToGrid w:val="0"/>
        <w:spacing w:beforeLines="0" w:afterLines="0" w:line="4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项目支出1186000元：</w:t>
      </w:r>
    </w:p>
    <w:p w14:paraId="5A85D50A">
      <w:pPr>
        <w:numPr>
          <w:ilvl w:val="0"/>
          <w:numId w:val="0"/>
        </w:numPr>
        <w:snapToGrid w:val="0"/>
        <w:spacing w:beforeLines="0" w:afterLines="0" w:line="4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 1 \* GB2 \* MERGEFORMAT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⑴</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、工资福利支出1128470.07元。</w:t>
      </w:r>
    </w:p>
    <w:p w14:paraId="50B6A091">
      <w:pPr>
        <w:numPr>
          <w:ilvl w:val="0"/>
          <w:numId w:val="0"/>
        </w:numPr>
        <w:snapToGrid w:val="0"/>
        <w:spacing w:beforeLines="0" w:afterLines="0" w:line="4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 2 \* GB2 \* MERGEFORMAT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⑵</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、商品和服务支出56000元。</w:t>
      </w:r>
    </w:p>
    <w:p w14:paraId="6501271A">
      <w:pPr>
        <w:numPr>
          <w:ilvl w:val="0"/>
          <w:numId w:val="0"/>
        </w:numPr>
        <w:snapToGrid w:val="0"/>
        <w:spacing w:beforeLines="0" w:afterLines="0" w:line="480" w:lineRule="exact"/>
        <w:ind w:firstLine="640" w:firstLineChars="200"/>
        <w:rPr>
          <w:rFonts w:hint="default" w:ascii="楷体_GB2312" w:eastAsia="楷体_GB2312" w:cs="楷体_GB2312"/>
          <w:i w:val="0"/>
          <w:iCs w:val="0"/>
          <w:caps w:val="0"/>
          <w:color w:val="000000"/>
          <w:spacing w:val="0"/>
          <w:sz w:val="32"/>
          <w:szCs w:val="32"/>
          <w:shd w:val="clear" w:color="auto" w:fill="FFFFFF"/>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 3 \* GB2 \* MERGEFORMAT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⑶</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、对个人和家庭支出1529.93元。</w:t>
      </w:r>
    </w:p>
    <w:p w14:paraId="42F6CF7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textAlignment w:val="auto"/>
        <w:rPr>
          <w:rFonts w:hint="default" w:ascii="楷体_GB2312" w:eastAsia="楷体_GB2312" w:cs="楷体_GB2312"/>
          <w:i w:val="0"/>
          <w:iCs w:val="0"/>
          <w:caps w:val="0"/>
          <w:color w:val="000000"/>
          <w:spacing w:val="0"/>
          <w:sz w:val="32"/>
          <w:szCs w:val="32"/>
        </w:rPr>
      </w:pPr>
      <w:r>
        <w:rPr>
          <w:rFonts w:hint="default" w:ascii="楷体_GB2312" w:hAnsi="Times New Roman" w:eastAsia="楷体_GB2312" w:cs="楷体_GB2312"/>
          <w:i w:val="0"/>
          <w:iCs w:val="0"/>
          <w:caps w:val="0"/>
          <w:color w:val="000000"/>
          <w:spacing w:val="-23"/>
          <w:sz w:val="32"/>
          <w:szCs w:val="32"/>
          <w:shd w:val="clear" w:color="auto" w:fill="FFFFFF"/>
        </w:rPr>
        <w:t>（二）</w:t>
      </w:r>
      <w:r>
        <w:rPr>
          <w:rFonts w:hint="default" w:ascii="楷体_GB2312" w:eastAsia="楷体_GB2312" w:cs="楷体_GB2312"/>
          <w:i w:val="0"/>
          <w:iCs w:val="0"/>
          <w:caps w:val="0"/>
          <w:color w:val="000000"/>
          <w:spacing w:val="0"/>
          <w:sz w:val="32"/>
          <w:szCs w:val="32"/>
          <w:shd w:val="clear" w:color="auto" w:fill="FFFFFF"/>
        </w:rPr>
        <w:t>部门预算执行情况</w:t>
      </w:r>
    </w:p>
    <w:p w14:paraId="145977E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仿宋_GB2312" w:eastAsia="仿宋_GB2312" w:cs="仿宋_GB2312"/>
          <w:i w:val="0"/>
          <w:iCs w:val="0"/>
          <w:caps w:val="0"/>
          <w:color w:val="000000"/>
          <w:spacing w:val="0"/>
          <w:sz w:val="32"/>
          <w:szCs w:val="32"/>
          <w:shd w:val="clear" w:color="auto" w:fill="FFFFFF"/>
        </w:rPr>
      </w:pPr>
      <w:r>
        <w:rPr>
          <w:rFonts w:hint="default" w:ascii="仿宋_GB2312" w:eastAsia="仿宋_GB2312" w:cs="仿宋_GB2312"/>
          <w:i w:val="0"/>
          <w:iCs w:val="0"/>
          <w:caps w:val="0"/>
          <w:color w:val="000000"/>
          <w:spacing w:val="0"/>
          <w:sz w:val="32"/>
          <w:szCs w:val="32"/>
          <w:shd w:val="clear" w:color="auto" w:fill="FFFFFF"/>
        </w:rPr>
        <w:t>1.基本支出情况</w:t>
      </w:r>
    </w:p>
    <w:p w14:paraId="51D99164">
      <w:pPr>
        <w:snapToGrid w:val="0"/>
        <w:spacing w:beforeLines="0" w:afterLines="0" w:line="4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基本支出14825213.75元：</w:t>
      </w:r>
    </w:p>
    <w:p w14:paraId="4C12E033">
      <w:pPr>
        <w:snapToGrid w:val="0"/>
        <w:spacing w:beforeLines="0" w:afterLines="0" w:line="4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 1 \* GB2 \* MERGEFORMAT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⑴</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、工资福利支出5436931.31元。</w:t>
      </w:r>
    </w:p>
    <w:p w14:paraId="6EC8FDC0">
      <w:pPr>
        <w:snapToGrid w:val="0"/>
        <w:spacing w:beforeLines="0" w:afterLines="0" w:line="4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 2 \* GB2 \* MERGEFORMAT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⑵</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、商品和服务支出9126280.37元。</w:t>
      </w:r>
    </w:p>
    <w:p w14:paraId="677314DB">
      <w:pPr>
        <w:snapToGrid w:val="0"/>
        <w:spacing w:beforeLines="0" w:afterLines="0" w:line="480" w:lineRule="exact"/>
        <w:ind w:firstLine="640" w:firstLineChars="200"/>
        <w:rPr>
          <w:rFonts w:hint="default" w:ascii="仿宋_GB2312" w:eastAsia="仿宋_GB2312" w:cs="仿宋_GB2312"/>
          <w:i w:val="0"/>
          <w:iCs w:val="0"/>
          <w:caps w:val="0"/>
          <w:color w:val="000000"/>
          <w:spacing w:val="0"/>
          <w:sz w:val="32"/>
          <w:szCs w:val="32"/>
          <w:shd w:val="clear" w:color="auto" w:fill="FFFFFF"/>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 3 \* GB2 \* MERGEFORMAT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⑶</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、对个人和家庭支出262002.07元。</w:t>
      </w:r>
    </w:p>
    <w:p w14:paraId="2AD13861">
      <w:pPr>
        <w:pStyle w:val="5"/>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640" w:right="0" w:firstLine="0"/>
        <w:textAlignment w:val="auto"/>
        <w:rPr>
          <w:rFonts w:hint="default" w:ascii="仿宋_GB2312" w:eastAsia="仿宋_GB2312" w:cs="仿宋_GB2312"/>
          <w:i w:val="0"/>
          <w:iCs w:val="0"/>
          <w:caps w:val="0"/>
          <w:color w:val="000000"/>
          <w:spacing w:val="0"/>
          <w:sz w:val="32"/>
          <w:szCs w:val="32"/>
          <w:shd w:val="clear" w:color="auto" w:fill="FFFFFF"/>
        </w:rPr>
      </w:pPr>
      <w:r>
        <w:rPr>
          <w:rFonts w:hint="default" w:ascii="仿宋_GB2312" w:eastAsia="仿宋_GB2312" w:cs="仿宋_GB2312"/>
          <w:i w:val="0"/>
          <w:iCs w:val="0"/>
          <w:caps w:val="0"/>
          <w:color w:val="000000"/>
          <w:spacing w:val="0"/>
          <w:sz w:val="32"/>
          <w:szCs w:val="32"/>
          <w:shd w:val="clear" w:color="auto" w:fill="FFFFFF"/>
        </w:rPr>
        <w:t>项目支出情况</w:t>
      </w:r>
    </w:p>
    <w:p w14:paraId="547DF48B">
      <w:pPr>
        <w:snapToGrid w:val="0"/>
        <w:spacing w:beforeLines="0" w:afterLines="0" w:line="4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项目支出1186000元：</w:t>
      </w:r>
    </w:p>
    <w:p w14:paraId="1A382DEF">
      <w:pPr>
        <w:numPr>
          <w:ilvl w:val="0"/>
          <w:numId w:val="0"/>
        </w:numPr>
        <w:snapToGrid w:val="0"/>
        <w:spacing w:beforeLines="0" w:afterLines="0" w:line="4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 1 \* GB2 \* MERGEFORMAT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⑴</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、工资福利支出1128470.07元。</w:t>
      </w:r>
    </w:p>
    <w:p w14:paraId="1A91B204">
      <w:pPr>
        <w:numPr>
          <w:ilvl w:val="0"/>
          <w:numId w:val="0"/>
        </w:numPr>
        <w:snapToGrid w:val="0"/>
        <w:spacing w:beforeLines="0" w:afterLines="0" w:line="4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 2 \* GB2 \* MERGEFORMAT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⑵</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、商品和服务支出56000元。</w:t>
      </w:r>
    </w:p>
    <w:p w14:paraId="242BCC1E">
      <w:pPr>
        <w:numPr>
          <w:ilvl w:val="0"/>
          <w:numId w:val="0"/>
        </w:numPr>
        <w:snapToGrid w:val="0"/>
        <w:spacing w:beforeLines="0" w:afterLines="0" w:line="480" w:lineRule="exact"/>
        <w:ind w:firstLine="640" w:firstLineChars="200"/>
        <w:rPr>
          <w:rFonts w:hint="default" w:ascii="仿宋_GB2312" w:eastAsia="仿宋_GB2312" w:cs="仿宋_GB2312"/>
          <w:i w:val="0"/>
          <w:iCs w:val="0"/>
          <w:caps w:val="0"/>
          <w:color w:val="000000"/>
          <w:spacing w:val="0"/>
          <w:sz w:val="32"/>
          <w:szCs w:val="32"/>
          <w:shd w:val="clear" w:color="auto" w:fill="FFFFFF"/>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 3 \* GB2 \* MERGEFORMAT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⑶</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、对个人和家庭支出1529.93元。</w:t>
      </w:r>
    </w:p>
    <w:p w14:paraId="016AFBC2">
      <w:pPr>
        <w:pStyle w:val="5"/>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eastAsia="楷体_GB2312" w:cs="楷体_GB2312"/>
          <w:i w:val="0"/>
          <w:iCs w:val="0"/>
          <w:caps w:val="0"/>
          <w:color w:val="000000"/>
          <w:spacing w:val="0"/>
          <w:sz w:val="32"/>
          <w:szCs w:val="32"/>
          <w:shd w:val="clear" w:color="auto" w:fill="FFFFFF"/>
        </w:rPr>
        <w:t>"三公"经费使用和管理情况</w:t>
      </w:r>
    </w:p>
    <w:p w14:paraId="1A2D75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zh-CN"/>
        </w:rPr>
      </w:pPr>
      <w:r>
        <w:rPr>
          <w:rFonts w:hint="eastAsia" w:ascii="仿宋" w:hAnsi="仿宋" w:eastAsia="仿宋" w:cs="仿宋"/>
          <w:sz w:val="32"/>
          <w:szCs w:val="32"/>
        </w:rPr>
        <w:t>没有因公出国（境）人员，公务接待费支出</w:t>
      </w:r>
      <w:r>
        <w:rPr>
          <w:rFonts w:hint="eastAsia" w:ascii="仿宋" w:hAnsi="仿宋" w:eastAsia="仿宋" w:cs="仿宋"/>
          <w:sz w:val="32"/>
          <w:szCs w:val="32"/>
          <w:lang w:val="en-US" w:eastAsia="zh-CN"/>
        </w:rPr>
        <w:t>860</w:t>
      </w:r>
      <w:r>
        <w:rPr>
          <w:rFonts w:hint="eastAsia" w:ascii="仿宋" w:hAnsi="仿宋" w:eastAsia="仿宋" w:cs="仿宋"/>
          <w:sz w:val="32"/>
          <w:szCs w:val="32"/>
        </w:rPr>
        <w:t>元，占年初公务接待</w:t>
      </w:r>
      <w:r>
        <w:rPr>
          <w:rFonts w:hint="eastAsia" w:ascii="仿宋" w:hAnsi="仿宋" w:eastAsia="仿宋" w:cs="仿宋"/>
          <w:sz w:val="32"/>
          <w:szCs w:val="32"/>
          <w:lang w:eastAsia="zh-CN"/>
        </w:rPr>
        <w:t>费</w:t>
      </w:r>
      <w:r>
        <w:rPr>
          <w:rFonts w:hint="eastAsia" w:ascii="仿宋" w:hAnsi="仿宋" w:eastAsia="仿宋" w:cs="仿宋"/>
          <w:sz w:val="32"/>
          <w:szCs w:val="32"/>
        </w:rPr>
        <w:t>预算安排数</w:t>
      </w:r>
      <w:r>
        <w:rPr>
          <w:rFonts w:hint="eastAsia" w:ascii="仿宋" w:hAnsi="仿宋" w:eastAsia="仿宋" w:cs="仿宋"/>
          <w:sz w:val="32"/>
          <w:szCs w:val="32"/>
          <w:lang w:eastAsia="zh-CN"/>
        </w:rPr>
        <w:t>的</w:t>
      </w:r>
      <w:r>
        <w:rPr>
          <w:rFonts w:hint="eastAsia" w:ascii="仿宋" w:hAnsi="仿宋" w:eastAsia="仿宋" w:cs="仿宋"/>
          <w:sz w:val="32"/>
          <w:szCs w:val="32"/>
          <w:lang w:val="en-US" w:eastAsia="zh-CN"/>
        </w:rPr>
        <w:t>14.33</w:t>
      </w:r>
      <w:r>
        <w:rPr>
          <w:rFonts w:hint="eastAsia" w:ascii="仿宋" w:hAnsi="仿宋" w:eastAsia="仿宋" w:cs="仿宋"/>
          <w:sz w:val="32"/>
          <w:szCs w:val="32"/>
        </w:rPr>
        <w:t>%，</w:t>
      </w:r>
      <w:r>
        <w:rPr>
          <w:rFonts w:hint="eastAsia" w:ascii="仿宋" w:hAnsi="仿宋" w:eastAsia="仿宋" w:cs="仿宋"/>
          <w:sz w:val="32"/>
          <w:szCs w:val="32"/>
          <w:lang w:eastAsia="zh-CN"/>
        </w:rPr>
        <w:t>没有</w:t>
      </w:r>
      <w:r>
        <w:rPr>
          <w:rFonts w:hint="eastAsia" w:ascii="仿宋" w:hAnsi="仿宋" w:eastAsia="仿宋" w:cs="仿宋"/>
          <w:sz w:val="32"/>
          <w:szCs w:val="32"/>
        </w:rPr>
        <w:t>公务用车购置及运行维护费支出，有效的控制了“三公经费”的支出。</w:t>
      </w:r>
    </w:p>
    <w:p w14:paraId="012D8508">
      <w:pPr>
        <w:pStyle w:val="5"/>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黑体" w:hAnsi="黑体" w:eastAsia="黑体" w:cs="黑体"/>
          <w:i w:val="0"/>
          <w:iCs w:val="0"/>
          <w:caps w:val="0"/>
          <w:color w:val="000000"/>
          <w:spacing w:val="0"/>
          <w:sz w:val="32"/>
          <w:szCs w:val="32"/>
          <w:shd w:val="clear" w:color="auto" w:fill="FFFFFF"/>
        </w:rPr>
      </w:pPr>
      <w:r>
        <w:rPr>
          <w:rFonts w:hint="eastAsia" w:ascii="黑体" w:hAnsi="黑体" w:eastAsia="黑体" w:cs="黑体"/>
          <w:i w:val="0"/>
          <w:iCs w:val="0"/>
          <w:caps w:val="0"/>
          <w:color w:val="000000"/>
          <w:spacing w:val="0"/>
          <w:sz w:val="32"/>
          <w:szCs w:val="32"/>
          <w:shd w:val="clear" w:color="auto" w:fill="FFFFFF"/>
        </w:rPr>
        <w:t>政府性基金预算支出情况</w:t>
      </w:r>
    </w:p>
    <w:p w14:paraId="2813AC41">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rightChars="0" w:firstLine="643" w:firstLineChars="200"/>
        <w:textAlignment w:val="auto"/>
        <w:rPr>
          <w:rFonts w:hint="eastAsia" w:ascii="仿宋" w:hAnsi="仿宋" w:eastAsia="仿宋" w:cs="仿宋"/>
          <w:b/>
          <w:bCs/>
          <w:i w:val="0"/>
          <w:iCs w:val="0"/>
          <w:caps w:val="0"/>
          <w:color w:val="000000"/>
          <w:spacing w:val="0"/>
          <w:sz w:val="32"/>
          <w:szCs w:val="32"/>
          <w:shd w:val="clear" w:color="auto" w:fill="FFFFFF"/>
          <w:lang w:eastAsia="zh-CN"/>
        </w:rPr>
      </w:pPr>
      <w:r>
        <w:rPr>
          <w:rFonts w:hint="eastAsia" w:ascii="仿宋" w:hAnsi="仿宋" w:eastAsia="仿宋" w:cs="仿宋"/>
          <w:b/>
          <w:bCs/>
          <w:i w:val="0"/>
          <w:iCs w:val="0"/>
          <w:caps w:val="0"/>
          <w:color w:val="000000"/>
          <w:spacing w:val="0"/>
          <w:sz w:val="32"/>
          <w:szCs w:val="32"/>
          <w:shd w:val="clear" w:color="auto" w:fill="FFFFFF"/>
          <w:lang w:eastAsia="zh-CN"/>
        </w:rPr>
        <w:t>无</w:t>
      </w:r>
    </w:p>
    <w:p w14:paraId="521FDF26">
      <w:pPr>
        <w:pStyle w:val="5"/>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leftChars="0" w:right="0" w:firstLine="640" w:firstLineChars="200"/>
        <w:textAlignment w:val="auto"/>
        <w:rPr>
          <w:rFonts w:hint="eastAsia" w:ascii="黑体" w:hAnsi="黑体" w:eastAsia="黑体" w:cs="黑体"/>
          <w:i w:val="0"/>
          <w:iCs w:val="0"/>
          <w:caps w:val="0"/>
          <w:color w:val="000000"/>
          <w:spacing w:val="0"/>
          <w:sz w:val="32"/>
          <w:szCs w:val="32"/>
          <w:shd w:val="clear" w:color="auto" w:fill="FFFFFF"/>
        </w:rPr>
      </w:pPr>
      <w:r>
        <w:rPr>
          <w:rFonts w:hint="eastAsia" w:ascii="黑体" w:hAnsi="黑体" w:eastAsia="黑体" w:cs="黑体"/>
          <w:i w:val="0"/>
          <w:iCs w:val="0"/>
          <w:caps w:val="0"/>
          <w:color w:val="000000"/>
          <w:spacing w:val="0"/>
          <w:sz w:val="32"/>
          <w:szCs w:val="32"/>
          <w:shd w:val="clear" w:color="auto" w:fill="FFFFFF"/>
        </w:rPr>
        <w:t>国有资本经营预算支出情况</w:t>
      </w:r>
    </w:p>
    <w:p w14:paraId="352EB592">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rightChars="0"/>
        <w:textAlignment w:val="auto"/>
        <w:rPr>
          <w:rFonts w:hint="default" w:ascii="黑体" w:hAnsi="黑体" w:eastAsia="黑体" w:cs="黑体"/>
          <w:i w:val="0"/>
          <w:iCs w:val="0"/>
          <w:caps w:val="0"/>
          <w:color w:val="000000"/>
          <w:spacing w:val="0"/>
          <w:sz w:val="32"/>
          <w:szCs w:val="32"/>
          <w:shd w:val="clear" w:color="auto" w:fill="FFFFFF"/>
          <w:lang w:val="en-US" w:eastAsia="zh-CN"/>
        </w:rPr>
      </w:pPr>
      <w:r>
        <w:rPr>
          <w:rFonts w:hint="eastAsia" w:ascii="黑体" w:hAnsi="黑体" w:eastAsia="黑体" w:cs="黑体"/>
          <w:i w:val="0"/>
          <w:iCs w:val="0"/>
          <w:caps w:val="0"/>
          <w:color w:val="000000"/>
          <w:spacing w:val="0"/>
          <w:sz w:val="32"/>
          <w:szCs w:val="32"/>
          <w:shd w:val="clear" w:color="auto" w:fill="FFFFFF"/>
          <w:lang w:val="en-US" w:eastAsia="zh-CN"/>
        </w:rPr>
        <w:t xml:space="preserve">    </w:t>
      </w:r>
      <w:r>
        <w:rPr>
          <w:rFonts w:hint="eastAsia" w:ascii="仿宋" w:hAnsi="仿宋" w:eastAsia="仿宋" w:cs="仿宋"/>
          <w:b/>
          <w:bCs/>
          <w:i w:val="0"/>
          <w:iCs w:val="0"/>
          <w:caps w:val="0"/>
          <w:color w:val="000000"/>
          <w:spacing w:val="0"/>
          <w:sz w:val="32"/>
          <w:szCs w:val="32"/>
          <w:shd w:val="clear" w:color="auto" w:fill="FFFFFF"/>
          <w:lang w:val="en-US" w:eastAsia="zh-CN"/>
        </w:rPr>
        <w:t>无</w:t>
      </w:r>
    </w:p>
    <w:p w14:paraId="3444E96B">
      <w:pPr>
        <w:pStyle w:val="5"/>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leftChars="0" w:right="0" w:firstLine="640" w:firstLineChars="200"/>
        <w:textAlignment w:val="auto"/>
        <w:rPr>
          <w:rFonts w:hint="eastAsia" w:ascii="黑体" w:hAnsi="黑体" w:eastAsia="黑体" w:cs="黑体"/>
          <w:i w:val="0"/>
          <w:iCs w:val="0"/>
          <w:caps w:val="0"/>
          <w:color w:val="000000"/>
          <w:spacing w:val="0"/>
          <w:sz w:val="32"/>
          <w:szCs w:val="32"/>
          <w:shd w:val="clear" w:color="auto" w:fill="FFFFFF"/>
        </w:rPr>
      </w:pPr>
      <w:r>
        <w:rPr>
          <w:rFonts w:hint="eastAsia" w:ascii="黑体" w:hAnsi="黑体" w:eastAsia="黑体" w:cs="黑体"/>
          <w:i w:val="0"/>
          <w:iCs w:val="0"/>
          <w:caps w:val="0"/>
          <w:color w:val="000000"/>
          <w:spacing w:val="0"/>
          <w:sz w:val="32"/>
          <w:szCs w:val="32"/>
          <w:shd w:val="clear" w:color="auto" w:fill="FFFFFF"/>
        </w:rPr>
        <w:t>社会保险基金预算支出情况</w:t>
      </w:r>
    </w:p>
    <w:p w14:paraId="32CC900C">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rightChars="0" w:firstLine="643" w:firstLineChars="200"/>
        <w:textAlignment w:val="auto"/>
        <w:rPr>
          <w:rFonts w:hint="eastAsia" w:ascii="仿宋" w:hAnsi="仿宋" w:eastAsia="仿宋" w:cs="仿宋"/>
          <w:b/>
          <w:bCs/>
          <w:i w:val="0"/>
          <w:iCs w:val="0"/>
          <w:caps w:val="0"/>
          <w:color w:val="000000"/>
          <w:spacing w:val="0"/>
          <w:sz w:val="32"/>
          <w:szCs w:val="32"/>
          <w:shd w:val="clear" w:color="auto" w:fill="FFFFFF"/>
          <w:lang w:eastAsia="zh-CN"/>
        </w:rPr>
      </w:pPr>
      <w:r>
        <w:rPr>
          <w:rFonts w:hint="eastAsia" w:ascii="仿宋" w:hAnsi="仿宋" w:eastAsia="仿宋" w:cs="仿宋"/>
          <w:b/>
          <w:bCs/>
          <w:i w:val="0"/>
          <w:iCs w:val="0"/>
          <w:caps w:val="0"/>
          <w:color w:val="000000"/>
          <w:spacing w:val="0"/>
          <w:sz w:val="32"/>
          <w:szCs w:val="32"/>
          <w:shd w:val="clear" w:color="auto" w:fill="FFFFFF"/>
          <w:lang w:eastAsia="zh-CN"/>
        </w:rPr>
        <w:t>无</w:t>
      </w:r>
    </w:p>
    <w:p w14:paraId="54A153B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黑体" w:hAnsi="黑体" w:eastAsia="黑体" w:cs="黑体"/>
          <w:i w:val="0"/>
          <w:iCs w:val="0"/>
          <w:caps w:val="0"/>
          <w:color w:val="000000"/>
          <w:spacing w:val="0"/>
          <w:sz w:val="32"/>
          <w:szCs w:val="32"/>
        </w:rPr>
      </w:pPr>
      <w:r>
        <w:rPr>
          <w:rFonts w:hint="eastAsia" w:ascii="黑体" w:hAnsi="黑体" w:eastAsia="黑体" w:cs="黑体"/>
          <w:i w:val="0"/>
          <w:iCs w:val="0"/>
          <w:caps w:val="0"/>
          <w:color w:val="000000"/>
          <w:spacing w:val="0"/>
          <w:sz w:val="32"/>
          <w:szCs w:val="32"/>
          <w:shd w:val="clear" w:color="auto" w:fill="FFFFFF"/>
        </w:rPr>
        <w:t>六、部门整体支出绩效情况</w:t>
      </w:r>
    </w:p>
    <w:p w14:paraId="472DB05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hAnsi="Times New Roman" w:eastAsia="楷体_GB2312" w:cs="楷体_GB2312"/>
          <w:i w:val="0"/>
          <w:iCs w:val="0"/>
          <w:caps w:val="0"/>
          <w:color w:val="000000"/>
          <w:spacing w:val="-23"/>
          <w:sz w:val="32"/>
          <w:szCs w:val="32"/>
          <w:shd w:val="clear" w:color="auto" w:fill="FFFFFF"/>
        </w:rPr>
        <w:t>（一）</w:t>
      </w:r>
      <w:r>
        <w:rPr>
          <w:rFonts w:hint="default" w:ascii="楷体_GB2312" w:eastAsia="楷体_GB2312" w:cs="楷体_GB2312"/>
          <w:i w:val="0"/>
          <w:iCs w:val="0"/>
          <w:caps w:val="0"/>
          <w:color w:val="000000"/>
          <w:spacing w:val="0"/>
          <w:sz w:val="32"/>
          <w:szCs w:val="32"/>
          <w:shd w:val="clear" w:color="auto" w:fill="FFFFFF"/>
        </w:rPr>
        <w:t>综合评价结论。</w:t>
      </w:r>
    </w:p>
    <w:p w14:paraId="4F377748">
      <w:pPr>
        <w:keepNext w:val="0"/>
        <w:keepLines w:val="0"/>
        <w:pageBreakBefore w:val="0"/>
        <w:numPr>
          <w:ilvl w:val="0"/>
          <w:numId w:val="0"/>
        </w:numPr>
        <w:kinsoku/>
        <w:overflowPunct/>
        <w:topLinePunct w:val="0"/>
        <w:autoSpaceDE/>
        <w:autoSpaceDN/>
        <w:bidi w:val="0"/>
        <w:adjustRightInd/>
        <w:spacing w:line="460" w:lineRule="exact"/>
        <w:ind w:firstLine="640"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eastAsia" w:ascii="仿宋" w:hAnsi="仿宋" w:eastAsia="仿宋" w:cs="仿宋"/>
          <w:b w:val="0"/>
          <w:bCs w:val="0"/>
          <w:color w:val="343233"/>
          <w:kern w:val="0"/>
          <w:sz w:val="32"/>
          <w:szCs w:val="32"/>
          <w:lang w:eastAsia="zh-CN"/>
        </w:rPr>
        <w:t>经自评，</w:t>
      </w:r>
      <w:r>
        <w:rPr>
          <w:rFonts w:hint="eastAsia" w:ascii="仿宋" w:hAnsi="仿宋" w:eastAsia="仿宋" w:cs="仿宋"/>
          <w:b w:val="0"/>
          <w:bCs w:val="0"/>
          <w:color w:val="343233"/>
          <w:kern w:val="0"/>
          <w:sz w:val="32"/>
          <w:szCs w:val="32"/>
          <w:lang w:val="en-US" w:eastAsia="zh-CN"/>
        </w:rPr>
        <w:t>2023年度我单位整体支出绩效评价结论为“优”，自查评分为95分。</w:t>
      </w:r>
    </w:p>
    <w:p w14:paraId="2F769B1F">
      <w:pPr>
        <w:pStyle w:val="5"/>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eastAsia="楷体_GB2312" w:cs="楷体_GB2312"/>
          <w:i w:val="0"/>
          <w:iCs w:val="0"/>
          <w:caps w:val="0"/>
          <w:color w:val="000000"/>
          <w:spacing w:val="0"/>
          <w:sz w:val="32"/>
          <w:szCs w:val="32"/>
          <w:shd w:val="clear" w:color="auto" w:fill="FFFFFF"/>
        </w:rPr>
        <w:t>评价指标分析（或综合评价情况）。</w:t>
      </w:r>
    </w:p>
    <w:p w14:paraId="6515C3CD">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rightChars="0"/>
        <w:textAlignment w:val="auto"/>
        <w:rPr>
          <w:rFonts w:hint="eastAsia" w:ascii="仿宋" w:hAnsi="仿宋" w:eastAsia="仿宋" w:cs="仿宋"/>
          <w:i w:val="0"/>
          <w:iCs w:val="0"/>
          <w:caps w:val="0"/>
          <w:color w:val="000000"/>
          <w:spacing w:val="0"/>
          <w:sz w:val="32"/>
          <w:szCs w:val="32"/>
          <w:shd w:val="clear" w:color="auto" w:fill="FFFFFF"/>
          <w:lang w:val="en-US" w:eastAsia="zh-CN"/>
        </w:rPr>
      </w:pPr>
      <w:r>
        <w:rPr>
          <w:rFonts w:hint="eastAsia" w:ascii="楷体_GB2312" w:eastAsia="楷体_GB2312" w:cs="楷体_GB2312"/>
          <w:i w:val="0"/>
          <w:iCs w:val="0"/>
          <w:caps w:val="0"/>
          <w:color w:val="000000"/>
          <w:spacing w:val="0"/>
          <w:sz w:val="32"/>
          <w:szCs w:val="32"/>
          <w:shd w:val="clear" w:color="auto" w:fill="FFFFFF"/>
          <w:lang w:val="en-US" w:eastAsia="zh-CN"/>
        </w:rPr>
        <w:t xml:space="preserve">   </w:t>
      </w:r>
      <w:r>
        <w:rPr>
          <w:rFonts w:hint="eastAsia" w:ascii="仿宋" w:hAnsi="仿宋" w:eastAsia="仿宋" w:cs="仿宋"/>
          <w:i w:val="0"/>
          <w:iCs w:val="0"/>
          <w:caps w:val="0"/>
          <w:color w:val="000000"/>
          <w:spacing w:val="0"/>
          <w:sz w:val="32"/>
          <w:szCs w:val="32"/>
          <w:shd w:val="clear" w:color="auto" w:fill="FFFFFF"/>
          <w:lang w:val="en-US" w:eastAsia="zh-CN"/>
        </w:rPr>
        <w:t xml:space="preserve"> 根据我部门实际情况，年初按要求申报了整体绩效目标，并在年终产出中实现了数量、质量、成本、时效指标的全面完成，取得了良好的社会效益和可持续影响，服务对象满意率较高。</w:t>
      </w:r>
    </w:p>
    <w:p w14:paraId="3118252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黑体" w:hAnsi="黑体" w:eastAsia="黑体" w:cs="黑体"/>
          <w:i w:val="0"/>
          <w:iCs w:val="0"/>
          <w:caps w:val="0"/>
          <w:color w:val="000000"/>
          <w:spacing w:val="0"/>
          <w:sz w:val="32"/>
          <w:szCs w:val="32"/>
        </w:rPr>
      </w:pPr>
      <w:r>
        <w:rPr>
          <w:rFonts w:hint="eastAsia" w:ascii="黑体" w:hAnsi="黑体" w:eastAsia="黑体" w:cs="黑体"/>
          <w:i w:val="0"/>
          <w:iCs w:val="0"/>
          <w:caps w:val="0"/>
          <w:color w:val="000000"/>
          <w:spacing w:val="0"/>
          <w:sz w:val="32"/>
          <w:szCs w:val="32"/>
          <w:shd w:val="clear" w:color="auto" w:fill="FFFFFF"/>
        </w:rPr>
        <w:t>七、存在的问题及原因分析</w:t>
      </w:r>
    </w:p>
    <w:p w14:paraId="5510BFB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left"/>
        <w:textAlignment w:val="auto"/>
        <w:rPr>
          <w:rFonts w:hint="eastAsia" w:ascii="仿宋_GB2312" w:eastAsia="仿宋_GB2312" w:cs="仿宋_GB2312"/>
          <w:i w:val="0"/>
          <w:iCs w:val="0"/>
          <w:caps w:val="0"/>
          <w:color w:val="000000"/>
          <w:spacing w:val="0"/>
          <w:sz w:val="32"/>
          <w:szCs w:val="32"/>
          <w:shd w:val="clear" w:color="auto" w:fill="FFFFFF"/>
          <w:lang w:eastAsia="zh-CN"/>
        </w:rPr>
      </w:pPr>
      <w:r>
        <w:rPr>
          <w:rFonts w:hint="default" w:ascii="仿宋_GB2312" w:eastAsia="仿宋_GB2312" w:cs="仿宋_GB2312"/>
          <w:i w:val="0"/>
          <w:iCs w:val="0"/>
          <w:caps w:val="0"/>
          <w:color w:val="000000"/>
          <w:spacing w:val="0"/>
          <w:sz w:val="32"/>
          <w:szCs w:val="32"/>
          <w:shd w:val="clear" w:color="auto" w:fill="FFFFFF"/>
        </w:rPr>
        <w:t>主要</w:t>
      </w:r>
      <w:r>
        <w:rPr>
          <w:rFonts w:hint="eastAsia" w:ascii="仿宋_GB2312" w:eastAsia="仿宋_GB2312" w:cs="仿宋_GB2312"/>
          <w:i w:val="0"/>
          <w:iCs w:val="0"/>
          <w:caps w:val="0"/>
          <w:color w:val="000000"/>
          <w:spacing w:val="0"/>
          <w:sz w:val="32"/>
          <w:szCs w:val="32"/>
          <w:shd w:val="clear" w:color="auto" w:fill="FFFFFF"/>
          <w:lang w:eastAsia="zh-CN"/>
        </w:rPr>
        <w:t>是年初就业专项资金没有纳入项目预算，致使预算执行时偏离绩效目标成本指标，</w:t>
      </w:r>
    </w:p>
    <w:p w14:paraId="0A7AAD62">
      <w:pPr>
        <w:pStyle w:val="5"/>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黑体" w:hAnsi="黑体" w:eastAsia="黑体" w:cs="黑体"/>
          <w:i w:val="0"/>
          <w:iCs w:val="0"/>
          <w:caps w:val="0"/>
          <w:color w:val="000000"/>
          <w:spacing w:val="0"/>
          <w:sz w:val="32"/>
          <w:szCs w:val="32"/>
          <w:shd w:val="clear" w:color="auto" w:fill="FFFFFF"/>
        </w:rPr>
      </w:pPr>
      <w:r>
        <w:rPr>
          <w:rFonts w:hint="eastAsia" w:ascii="黑体" w:hAnsi="黑体" w:eastAsia="黑体" w:cs="黑体"/>
          <w:i w:val="0"/>
          <w:iCs w:val="0"/>
          <w:caps w:val="0"/>
          <w:color w:val="000000"/>
          <w:spacing w:val="0"/>
          <w:sz w:val="32"/>
          <w:szCs w:val="32"/>
          <w:shd w:val="clear" w:color="auto" w:fill="FFFFFF"/>
        </w:rPr>
        <w:t>下一步改进措施</w:t>
      </w:r>
    </w:p>
    <w:p w14:paraId="01D1C2DB">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rightChars="0"/>
        <w:textAlignment w:val="auto"/>
        <w:rPr>
          <w:rFonts w:hint="eastAsia" w:ascii="仿宋" w:hAnsi="仿宋" w:eastAsia="仿宋" w:cs="仿宋"/>
          <w:i w:val="0"/>
          <w:iCs w:val="0"/>
          <w:caps w:val="0"/>
          <w:color w:val="000000"/>
          <w:spacing w:val="0"/>
          <w:sz w:val="32"/>
          <w:szCs w:val="32"/>
          <w:shd w:val="clear" w:color="auto" w:fill="FFFFFF"/>
          <w:lang w:val="en-US" w:eastAsia="zh-CN"/>
        </w:rPr>
      </w:pPr>
      <w:r>
        <w:rPr>
          <w:rFonts w:hint="eastAsia" w:ascii="黑体" w:hAnsi="黑体" w:eastAsia="黑体" w:cs="黑体"/>
          <w:i w:val="0"/>
          <w:iCs w:val="0"/>
          <w:caps w:val="0"/>
          <w:color w:val="000000"/>
          <w:spacing w:val="0"/>
          <w:sz w:val="32"/>
          <w:szCs w:val="32"/>
          <w:shd w:val="clear" w:color="auto" w:fill="FFFFFF"/>
          <w:lang w:val="en-US" w:eastAsia="zh-CN"/>
        </w:rPr>
        <w:t xml:space="preserve">    </w:t>
      </w:r>
      <w:r>
        <w:rPr>
          <w:rFonts w:hint="eastAsia" w:ascii="仿宋" w:hAnsi="仿宋" w:eastAsia="仿宋" w:cs="仿宋"/>
          <w:i w:val="0"/>
          <w:iCs w:val="0"/>
          <w:caps w:val="0"/>
          <w:color w:val="000000"/>
          <w:spacing w:val="0"/>
          <w:sz w:val="32"/>
          <w:szCs w:val="32"/>
          <w:shd w:val="clear" w:color="auto" w:fill="FFFFFF"/>
          <w:lang w:val="en-US" w:eastAsia="zh-CN"/>
        </w:rPr>
        <w:t>年初预算时将就业专项资金纳入项目预算。</w:t>
      </w:r>
    </w:p>
    <w:p w14:paraId="43E7323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黑体" w:hAnsi="黑体" w:eastAsia="黑体" w:cs="黑体"/>
          <w:i w:val="0"/>
          <w:iCs w:val="0"/>
          <w:caps w:val="0"/>
          <w:color w:val="000000"/>
          <w:spacing w:val="0"/>
          <w:sz w:val="32"/>
          <w:szCs w:val="32"/>
        </w:rPr>
      </w:pPr>
      <w:r>
        <w:rPr>
          <w:rFonts w:hint="eastAsia" w:ascii="黑体" w:hAnsi="黑体" w:eastAsia="黑体" w:cs="黑体"/>
          <w:i w:val="0"/>
          <w:iCs w:val="0"/>
          <w:caps w:val="0"/>
          <w:color w:val="000000"/>
          <w:spacing w:val="0"/>
          <w:sz w:val="32"/>
          <w:szCs w:val="32"/>
          <w:shd w:val="clear" w:color="auto" w:fill="FFFFFF"/>
        </w:rPr>
        <w:t>九、其他需要说明的情况</w:t>
      </w:r>
    </w:p>
    <w:p w14:paraId="2CE96CD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3" w:firstLineChars="200"/>
        <w:textAlignment w:val="auto"/>
        <w:rPr>
          <w:rFonts w:hint="eastAsia" w:ascii="Times New Roman" w:hAnsi="Times New Roman" w:eastAsia="宋体" w:cs="Times New Roman"/>
          <w:b/>
          <w:bCs/>
          <w:i w:val="0"/>
          <w:iCs w:val="0"/>
          <w:caps w:val="0"/>
          <w:color w:val="000000"/>
          <w:spacing w:val="0"/>
          <w:sz w:val="32"/>
          <w:szCs w:val="32"/>
          <w:lang w:eastAsia="zh-CN"/>
        </w:rPr>
      </w:pPr>
      <w:r>
        <w:rPr>
          <w:rFonts w:hint="eastAsia" w:cs="Times New Roman"/>
          <w:b/>
          <w:bCs/>
          <w:i w:val="0"/>
          <w:iCs w:val="0"/>
          <w:caps w:val="0"/>
          <w:color w:val="000000"/>
          <w:spacing w:val="0"/>
          <w:sz w:val="32"/>
          <w:szCs w:val="32"/>
          <w:lang w:eastAsia="zh-CN"/>
        </w:rPr>
        <w:t>无</w:t>
      </w:r>
    </w:p>
    <w:p w14:paraId="63EA47E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_GBK">
    <w:altName w:val="微软雅黑"/>
    <w:panose1 w:val="02000000000000000000"/>
    <w:charset w:val="86"/>
    <w:family w:val="auto"/>
    <w:pitch w:val="default"/>
    <w:sig w:usb0="00000000" w:usb1="00000000" w:usb2="00082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BBB2B8"/>
    <w:multiLevelType w:val="singleLevel"/>
    <w:tmpl w:val="8CBBB2B8"/>
    <w:lvl w:ilvl="0" w:tentative="0">
      <w:start w:val="3"/>
      <w:numFmt w:val="chineseCounting"/>
      <w:suff w:val="nothing"/>
      <w:lvlText w:val="%1、"/>
      <w:lvlJc w:val="left"/>
      <w:rPr>
        <w:rFonts w:hint="eastAsia"/>
      </w:rPr>
    </w:lvl>
  </w:abstractNum>
  <w:abstractNum w:abstractNumId="1">
    <w:nsid w:val="ED0050E9"/>
    <w:multiLevelType w:val="singleLevel"/>
    <w:tmpl w:val="ED0050E9"/>
    <w:lvl w:ilvl="0" w:tentative="0">
      <w:start w:val="8"/>
      <w:numFmt w:val="chineseCounting"/>
      <w:suff w:val="nothing"/>
      <w:lvlText w:val="%1、"/>
      <w:lvlJc w:val="left"/>
      <w:rPr>
        <w:rFonts w:hint="eastAsia"/>
      </w:rPr>
    </w:lvl>
  </w:abstractNum>
  <w:abstractNum w:abstractNumId="2">
    <w:nsid w:val="EEB8ED3F"/>
    <w:multiLevelType w:val="singleLevel"/>
    <w:tmpl w:val="EEB8ED3F"/>
    <w:lvl w:ilvl="0" w:tentative="0">
      <w:start w:val="3"/>
      <w:numFmt w:val="chineseCounting"/>
      <w:suff w:val="nothing"/>
      <w:lvlText w:val="（%1）"/>
      <w:lvlJc w:val="left"/>
      <w:rPr>
        <w:rFonts w:hint="eastAsia"/>
      </w:rPr>
    </w:lvl>
  </w:abstractNum>
  <w:abstractNum w:abstractNumId="3">
    <w:nsid w:val="FBD1014F"/>
    <w:multiLevelType w:val="singleLevel"/>
    <w:tmpl w:val="FBD1014F"/>
    <w:lvl w:ilvl="0" w:tentative="0">
      <w:start w:val="2"/>
      <w:numFmt w:val="chineseCounting"/>
      <w:suff w:val="nothing"/>
      <w:lvlText w:val="（%1）"/>
      <w:lvlJc w:val="left"/>
      <w:rPr>
        <w:rFonts w:hint="eastAsia"/>
      </w:rPr>
    </w:lvl>
  </w:abstractNum>
  <w:abstractNum w:abstractNumId="4">
    <w:nsid w:val="1962FF20"/>
    <w:multiLevelType w:val="singleLevel"/>
    <w:tmpl w:val="1962FF20"/>
    <w:lvl w:ilvl="0" w:tentative="0">
      <w:start w:val="2"/>
      <w:numFmt w:val="decimal"/>
      <w:lvlText w:val="%1."/>
      <w:lvlJc w:val="left"/>
      <w:pPr>
        <w:tabs>
          <w:tab w:val="left" w:pos="312"/>
        </w:tabs>
      </w:pPr>
    </w:lvl>
  </w:abstractNum>
  <w:abstractNum w:abstractNumId="5">
    <w:nsid w:val="7AFEEC5D"/>
    <w:multiLevelType w:val="singleLevel"/>
    <w:tmpl w:val="7AFEEC5D"/>
    <w:lvl w:ilvl="0" w:tentative="0">
      <w:start w:val="2"/>
      <w:numFmt w:val="chineseCounting"/>
      <w:suff w:val="nothing"/>
      <w:lvlText w:val="（%1）"/>
      <w:lvlJc w:val="left"/>
      <w:rPr>
        <w:rFonts w:hint="eastAsia"/>
      </w:rPr>
    </w:lvl>
  </w:abstractNum>
  <w:num w:numId="1">
    <w:abstractNumId w:val="3"/>
  </w:num>
  <w:num w:numId="2">
    <w:abstractNumId w:val="4"/>
  </w:num>
  <w:num w:numId="3">
    <w:abstractNumId w:val="2"/>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0YTQ0NjVkNDIwOTFiOGVjMzM0NzE2NmNlNzk4M2IifQ=="/>
  </w:docVars>
  <w:rsids>
    <w:rsidRoot w:val="45B53DB0"/>
    <w:rsid w:val="006D5EEE"/>
    <w:rsid w:val="014C26A4"/>
    <w:rsid w:val="063D115E"/>
    <w:rsid w:val="067F49DD"/>
    <w:rsid w:val="0EBE0962"/>
    <w:rsid w:val="11ED060F"/>
    <w:rsid w:val="147E37E3"/>
    <w:rsid w:val="19D70B73"/>
    <w:rsid w:val="202F346E"/>
    <w:rsid w:val="20C647F6"/>
    <w:rsid w:val="22E744D4"/>
    <w:rsid w:val="2FDB53C0"/>
    <w:rsid w:val="32E60475"/>
    <w:rsid w:val="37973410"/>
    <w:rsid w:val="389E1315"/>
    <w:rsid w:val="399C171C"/>
    <w:rsid w:val="39C770E9"/>
    <w:rsid w:val="3B894744"/>
    <w:rsid w:val="3CE85A48"/>
    <w:rsid w:val="45B53DB0"/>
    <w:rsid w:val="462F60CE"/>
    <w:rsid w:val="48BF71D5"/>
    <w:rsid w:val="49DC7913"/>
    <w:rsid w:val="57825F9E"/>
    <w:rsid w:val="5CDE3232"/>
    <w:rsid w:val="5D091799"/>
    <w:rsid w:val="602F5097"/>
    <w:rsid w:val="60646B56"/>
    <w:rsid w:val="61A15272"/>
    <w:rsid w:val="62206ADF"/>
    <w:rsid w:val="64FA4AFF"/>
    <w:rsid w:val="68040309"/>
    <w:rsid w:val="68203558"/>
    <w:rsid w:val="6CD75FEC"/>
    <w:rsid w:val="71643360"/>
    <w:rsid w:val="74471A90"/>
    <w:rsid w:val="749F0CF3"/>
    <w:rsid w:val="77000835"/>
    <w:rsid w:val="770337B9"/>
    <w:rsid w:val="78EE4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unhideWhenUsed/>
    <w:qFormat/>
    <w:uiPriority w:val="0"/>
    <w:pPr>
      <w:keepNext/>
      <w:keepLines/>
      <w:spacing w:beforeLines="0" w:beforeAutospacing="0" w:afterLines="0" w:afterAutospacing="0" w:line="560" w:lineRule="exact"/>
      <w:ind w:firstLine="880" w:firstLineChars="200"/>
      <w:outlineLvl w:val="1"/>
    </w:pPr>
    <w:rPr>
      <w:rFonts w:ascii="Arial" w:hAnsi="Arial" w:eastAsia="黑体"/>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BodyText1I2"/>
    <w:basedOn w:val="3"/>
    <w:next w:val="1"/>
    <w:unhideWhenUsed/>
    <w:qFormat/>
    <w:uiPriority w:val="0"/>
    <w:pPr>
      <w:ind w:firstLine="200" w:firstLineChars="200"/>
    </w:pPr>
    <w:rPr>
      <w:rFonts w:hint="default" w:ascii="Calibri" w:hAnsi="Calibri" w:eastAsia="仿宋_GB2312"/>
      <w:sz w:val="36"/>
    </w:rPr>
  </w:style>
  <w:style w:type="paragraph" w:customStyle="1" w:styleId="3">
    <w:name w:val="BodyTextIndent"/>
    <w:basedOn w:val="1"/>
    <w:unhideWhenUsed/>
    <w:qFormat/>
    <w:uiPriority w:val="0"/>
    <w:pPr>
      <w:spacing w:after="120"/>
      <w:ind w:left="420" w:leftChars="200"/>
      <w:textAlignment w:val="baseline"/>
    </w:pPr>
    <w:rPr>
      <w:rFonts w:hint="eastAsia"/>
      <w:sz w:val="21"/>
      <w:lang w:val="en-US" w:eastAsia="zh-CN"/>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8">
    <w:name w:val="标题1"/>
    <w:basedOn w:val="4"/>
    <w:qFormat/>
    <w:uiPriority w:val="0"/>
    <w:rPr>
      <w:rFonts w:eastAsia="黑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1123</Words>
  <Characters>1372</Characters>
  <Lines>0</Lines>
  <Paragraphs>0</Paragraphs>
  <TotalTime>17</TotalTime>
  <ScaleCrop>false</ScaleCrop>
  <LinksUpToDate>false</LinksUpToDate>
  <CharactersWithSpaces>1384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2024-08-13T02:54:00Z</dcterms:created>
  <dc:creator>001</dc:creator>
  <cp:lastModifiedBy>001</cp:lastModifiedBy>
  <dcterms:modified xsi:type="dcterms:W3CDTF">2024-08-26T01:49:17Z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B424A838E662426F8D1B28F655842ED5_11</vt:lpwstr>
  </property>
</Properties>
</file>