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B01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2023年度</w:t>
      </w:r>
      <w:r>
        <w:rPr>
          <w:rFonts w:hint="eastAsia" w:ascii="方正小标宋简体" w:hAnsi="方正小标宋简体" w:eastAsia="方正小标宋简体" w:cs="方正小标宋简体"/>
          <w:sz w:val="44"/>
          <w:szCs w:val="44"/>
        </w:rPr>
        <w:t>会同县</w:t>
      </w:r>
      <w:r>
        <w:rPr>
          <w:rFonts w:hint="eastAsia" w:ascii="方正小标宋简体" w:hAnsi="方正小标宋简体" w:eastAsia="方正小标宋简体" w:cs="方正小标宋简体"/>
          <w:sz w:val="44"/>
          <w:szCs w:val="44"/>
          <w:lang w:eastAsia="zh-CN"/>
        </w:rPr>
        <w:t>人民政府办公室</w:t>
      </w:r>
      <w:r>
        <w:rPr>
          <w:rFonts w:hint="eastAsia" w:ascii="方正小标宋简体" w:hAnsi="方正小标宋简体" w:eastAsia="方正小标宋简体" w:cs="方正小标宋简体"/>
          <w:sz w:val="44"/>
          <w:szCs w:val="44"/>
        </w:rPr>
        <w:t>整体支出绩效自评报告</w:t>
      </w:r>
    </w:p>
    <w:p w14:paraId="181DCA40">
      <w:pPr>
        <w:rPr>
          <w:rFonts w:hint="eastAsia"/>
        </w:rPr>
      </w:pPr>
    </w:p>
    <w:p w14:paraId="7FD088A0">
      <w:pPr>
        <w:rPr>
          <w:rFonts w:hint="eastAsia"/>
        </w:rPr>
      </w:pPr>
    </w:p>
    <w:p w14:paraId="7D90C0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财政支出管理，提高财政资金使用效益，牢固树立预算绩效理念，根据《会同县财政局关于开展2023年度预算支出绩效自评工作的通知》（会财绩〔2024〕25号）文件精神，我办对单位的部门预算整体支出进行了绩效评价，现将情况汇报如下：</w:t>
      </w:r>
    </w:p>
    <w:p w14:paraId="279B9373">
      <w:pPr>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一、单位基本情况</w:t>
      </w:r>
    </w:p>
    <w:p w14:paraId="1FDED854">
      <w:pPr>
        <w:rPr>
          <w:rFonts w:hint="eastAsia" w:ascii="楷体" w:hAnsi="楷体" w:eastAsia="楷体" w:cs="楷体"/>
          <w:sz w:val="32"/>
          <w:szCs w:val="32"/>
        </w:rPr>
      </w:pPr>
      <w:r>
        <w:rPr>
          <w:rFonts w:hint="eastAsia" w:ascii="楷体" w:hAnsi="楷体" w:eastAsia="楷体" w:cs="楷体"/>
          <w:sz w:val="32"/>
          <w:szCs w:val="32"/>
        </w:rPr>
        <w:t>（一）机构设置情况</w:t>
      </w:r>
    </w:p>
    <w:p w14:paraId="7453AB1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会同县</w:t>
      </w:r>
      <w:r>
        <w:rPr>
          <w:rFonts w:hint="eastAsia" w:ascii="仿宋_GB2312" w:hAnsi="仿宋_GB2312" w:eastAsia="仿宋_GB2312" w:cs="仿宋_GB2312"/>
          <w:sz w:val="32"/>
          <w:szCs w:val="32"/>
        </w:rPr>
        <w:t>县人民政府办公室（以下简称县政府办公室）是县政府工作部门，为正科级，是县级行政预算单位。县政府办公室设置</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个内设机构，具体如下：研究室、文电室、行政事务室、综合室、督查室</w:t>
      </w:r>
      <w:r>
        <w:rPr>
          <w:rFonts w:hint="eastAsia" w:ascii="仿宋_GB2312" w:hAnsi="仿宋_GB2312" w:eastAsia="仿宋_GB2312" w:cs="仿宋_GB2312"/>
          <w:sz w:val="32"/>
          <w:szCs w:val="32"/>
          <w:lang w:eastAsia="zh-CN"/>
        </w:rPr>
        <w:t>（县政府督查室）</w:t>
      </w:r>
      <w:r>
        <w:rPr>
          <w:rFonts w:hint="eastAsia" w:ascii="仿宋_GB2312" w:hAnsi="仿宋_GB2312" w:eastAsia="仿宋_GB2312" w:cs="仿宋_GB2312"/>
          <w:sz w:val="32"/>
          <w:szCs w:val="32"/>
        </w:rPr>
        <w:t>、值班室</w:t>
      </w:r>
      <w:r>
        <w:rPr>
          <w:rFonts w:hint="eastAsia" w:ascii="仿宋_GB2312" w:hAnsi="仿宋_GB2312" w:eastAsia="仿宋_GB2312" w:cs="仿宋_GB2312"/>
          <w:sz w:val="32"/>
          <w:szCs w:val="32"/>
          <w:lang w:eastAsia="zh-CN"/>
        </w:rPr>
        <w:t>（县政府总值班室）</w:t>
      </w:r>
      <w:r>
        <w:rPr>
          <w:rFonts w:hint="eastAsia" w:ascii="仿宋_GB2312" w:hAnsi="仿宋_GB2312" w:eastAsia="仿宋_GB2312" w:cs="仿宋_GB2312"/>
          <w:sz w:val="32"/>
          <w:szCs w:val="32"/>
        </w:rPr>
        <w:t>、政务服务室、人事教育室、金融工作室、禁毒办和优化办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县政府办公室</w:t>
      </w:r>
      <w:r>
        <w:rPr>
          <w:rFonts w:hint="eastAsia" w:ascii="仿宋_GB2312" w:hAnsi="仿宋_GB2312" w:eastAsia="仿宋_GB2312" w:cs="仿宋_GB2312"/>
          <w:sz w:val="32"/>
          <w:szCs w:val="32"/>
          <w:lang w:eastAsia="zh-CN"/>
        </w:rPr>
        <w:t>下设县政府发展研究中心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为公益一类</w:t>
      </w:r>
      <w:r>
        <w:rPr>
          <w:rFonts w:hint="eastAsia" w:ascii="仿宋_GB2312" w:hAnsi="仿宋_GB2312" w:eastAsia="仿宋_GB2312" w:cs="仿宋_GB2312"/>
          <w:sz w:val="32"/>
          <w:szCs w:val="32"/>
        </w:rPr>
        <w:t>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县禁毒工作社会化宣传教育中心为县政府办公室所属股级公益类事业单位。</w:t>
      </w:r>
    </w:p>
    <w:p w14:paraId="5FFFAAB4">
      <w:pPr>
        <w:numPr>
          <w:ilvl w:val="0"/>
          <w:numId w:val="1"/>
        </w:numPr>
        <w:rPr>
          <w:rFonts w:hint="eastAsia" w:ascii="楷体" w:hAnsi="楷体" w:eastAsia="楷体" w:cs="楷体"/>
          <w:sz w:val="32"/>
          <w:szCs w:val="32"/>
        </w:rPr>
      </w:pPr>
      <w:r>
        <w:rPr>
          <w:rFonts w:hint="eastAsia" w:ascii="楷体" w:hAnsi="楷体" w:eastAsia="楷体" w:cs="楷体"/>
          <w:sz w:val="32"/>
          <w:szCs w:val="32"/>
        </w:rPr>
        <w:t>人员编制情况</w:t>
      </w:r>
    </w:p>
    <w:p w14:paraId="1026234C">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组织部核定机关编制43名</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35名</w:t>
      </w:r>
      <w:r>
        <w:rPr>
          <w:rFonts w:hint="eastAsia" w:ascii="仿宋_GB2312" w:hAnsi="仿宋_GB2312" w:eastAsia="仿宋_GB2312" w:cs="仿宋_GB2312"/>
          <w:sz w:val="32"/>
          <w:szCs w:val="32"/>
          <w:lang w:eastAsia="zh-CN"/>
        </w:rPr>
        <w:t>（含县政府领导编制），</w:t>
      </w:r>
      <w:r>
        <w:rPr>
          <w:rFonts w:hint="eastAsia" w:ascii="仿宋_GB2312" w:hAnsi="仿宋_GB2312" w:eastAsia="仿宋_GB2312" w:cs="仿宋_GB2312"/>
          <w:sz w:val="32"/>
          <w:szCs w:val="32"/>
        </w:rPr>
        <w:t>实有</w:t>
      </w:r>
      <w:r>
        <w:rPr>
          <w:rFonts w:hint="eastAsia" w:ascii="仿宋_GB2312" w:hAnsi="仿宋_GB2312" w:eastAsia="仿宋_GB2312" w:cs="仿宋_GB2312"/>
          <w:sz w:val="32"/>
          <w:szCs w:val="32"/>
          <w:lang w:eastAsia="zh-CN"/>
        </w:rPr>
        <w:t>行政人员</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暂保留机关后勤服务</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编制</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名，待空编后予以核销</w:t>
      </w:r>
      <w:r>
        <w:rPr>
          <w:rFonts w:hint="eastAsia" w:ascii="仿宋_GB2312" w:hAnsi="仿宋_GB2312" w:eastAsia="仿宋_GB2312" w:cs="仿宋_GB2312"/>
          <w:sz w:val="32"/>
          <w:szCs w:val="32"/>
          <w:lang w:eastAsia="zh-CN"/>
        </w:rPr>
        <w:t>，实有后勤人员</w:t>
      </w:r>
      <w:r>
        <w:rPr>
          <w:rFonts w:hint="eastAsia" w:ascii="仿宋_GB2312" w:hAnsi="仿宋_GB2312" w:eastAsia="仿宋_GB2312" w:cs="仿宋_GB2312"/>
          <w:sz w:val="32"/>
          <w:szCs w:val="32"/>
          <w:lang w:val="en-US" w:eastAsia="zh-CN"/>
        </w:rPr>
        <w:t>8名。</w:t>
      </w:r>
      <w:r>
        <w:rPr>
          <w:rFonts w:hint="eastAsia" w:ascii="仿宋_GB2312" w:hAnsi="仿宋_GB2312" w:eastAsia="仿宋_GB2312" w:cs="仿宋_GB2312"/>
          <w:sz w:val="32"/>
          <w:szCs w:val="32"/>
        </w:rPr>
        <w:t>核定事业编制14名，实有</w:t>
      </w:r>
      <w:r>
        <w:rPr>
          <w:rFonts w:hint="eastAsia" w:ascii="仿宋_GB2312" w:hAnsi="仿宋_GB2312" w:eastAsia="仿宋_GB2312" w:cs="仿宋_GB2312"/>
          <w:sz w:val="32"/>
          <w:szCs w:val="32"/>
          <w:lang w:eastAsia="zh-CN"/>
        </w:rPr>
        <w:t>事业人员</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名。</w:t>
      </w:r>
    </w:p>
    <w:p w14:paraId="1FE11637">
      <w:pPr>
        <w:numPr>
          <w:ilvl w:val="0"/>
          <w:numId w:val="1"/>
        </w:numPr>
        <w:ind w:left="0" w:leftChars="0" w:firstLine="0" w:firstLineChars="0"/>
        <w:rPr>
          <w:rFonts w:hint="eastAsia" w:ascii="楷体" w:hAnsi="楷体" w:eastAsia="楷体" w:cs="楷体"/>
          <w:sz w:val="32"/>
          <w:szCs w:val="32"/>
        </w:rPr>
      </w:pPr>
      <w:r>
        <w:rPr>
          <w:rFonts w:hint="eastAsia" w:ascii="楷体" w:hAnsi="楷体" w:eastAsia="楷体" w:cs="楷体"/>
          <w:sz w:val="32"/>
          <w:szCs w:val="32"/>
        </w:rPr>
        <w:t>主要职能职责</w:t>
      </w:r>
    </w:p>
    <w:p w14:paraId="70A5C816">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1.协助县政府领导同志组织起草和审核以县政府、县政府办公室名义发布的公文。</w:t>
      </w:r>
    </w:p>
    <w:p w14:paraId="66C5693E">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2.研究县政府各部门和各乡镇人民政府请示县政府的事项，提出审核意见，对县政府部门间的分歧事项提出处理意见，报县政府领导同志审批、决定。</w:t>
      </w:r>
    </w:p>
    <w:p w14:paraId="2912F622">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3.负责县政府会议的组织和服务工作，协助实施会议决定事项。</w:t>
      </w:r>
    </w:p>
    <w:p w14:paraId="7790B163">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4.根据县政府领导同志的指示或工作需要，对有关问题进行协调，提出处理意见，报县政府领导同志决定。</w:t>
      </w:r>
    </w:p>
    <w:p w14:paraId="33832AE5">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5.办理中央、省政府、市政府和县政府领导同志的批示，并督促落实。督促检查县政府各部门和各乡镇人民政府对县政府决定事项的执行落实情况，及时向县政府报告。</w:t>
      </w:r>
    </w:p>
    <w:p w14:paraId="2C2C3A9B">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6.组织开展人大代表建议、政协提案办理工作。</w:t>
      </w:r>
    </w:p>
    <w:p w14:paraId="0E840704">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7.协助县政府领导同志做好需由县政府组织处理的突发事件应急处置工作；负责向国务院、省政府、市政府和县政府领导同志报告重要信息和情况；负责县政府值班工作。</w:t>
      </w:r>
    </w:p>
    <w:p w14:paraId="3398EC5E">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8.组织开展市民向县政府所提批评、意见和建议的办理工作。</w:t>
      </w:r>
    </w:p>
    <w:p w14:paraId="38161000">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9.指导全县政务公开（政府信息公开、办事公开）工作。</w:t>
      </w:r>
    </w:p>
    <w:p w14:paraId="27AF06B7">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10.负责《政府工作报告》和县政府主要领导同志讲话、报告、文章的起草以及有关新闻稿的审定。</w:t>
      </w:r>
    </w:p>
    <w:p w14:paraId="0FD79F7A">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11.负责起草县委、县政府向省委、省政府、市委、市政府的重要汇报材料；组织和协同有关方面起草、修改县政府的有关重要综合性文件；参与起草县委、县政府有关重要会议的文件。</w:t>
      </w:r>
    </w:p>
    <w:p w14:paraId="037D1E19">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12.负责牵头组织涉及全县经济建设、社会发展和改革开发等全局性工作的重大课题进行调查研究，及时综合归纳，提出供县政府决策的参考方案和政策性建议。</w:t>
      </w:r>
    </w:p>
    <w:p w14:paraId="72D9EB83">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13.负责组织专家对全县经济社会发展的重大问题、重大决策、重大项目进行研究论证，提供咨询服务。</w:t>
      </w:r>
    </w:p>
    <w:p w14:paraId="4EFE9C73">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14.负责全县政府系统综合调研工作人员的业务指导和培训。</w:t>
      </w:r>
    </w:p>
    <w:p w14:paraId="5090A6D1">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15.办理县政府和县政府领导同志交办的其他事项。</w:t>
      </w:r>
    </w:p>
    <w:p w14:paraId="6EEE4D9C">
      <w:pPr>
        <w:rPr>
          <w:rFonts w:hint="eastAsia" w:ascii="楷体" w:hAnsi="楷体" w:eastAsia="楷体" w:cs="楷体"/>
          <w:sz w:val="32"/>
          <w:szCs w:val="32"/>
        </w:rPr>
      </w:pPr>
      <w:r>
        <w:rPr>
          <w:rFonts w:hint="eastAsia" w:ascii="楷体" w:hAnsi="楷体" w:eastAsia="楷体" w:cs="楷体"/>
          <w:sz w:val="32"/>
          <w:szCs w:val="32"/>
        </w:rPr>
        <w:t>（四）绩效目标设定情况</w:t>
      </w:r>
    </w:p>
    <w:p w14:paraId="2D6B00A2">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2023年，本单位一般公共预算拨款支出预算923.98万元，其中，一般公共服务支出758.86万元，占82.13%；社会保障和就业支出78.24万元，占8.47%；卫生健康支出32.33万元，占3.50%；住房保障支出54.56万元，占5.90%。</w:t>
      </w:r>
    </w:p>
    <w:p w14:paraId="34220642">
      <w:pPr>
        <w:ind w:firstLine="640" w:firstLineChars="20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29FA74BE">
      <w:pPr>
        <w:rPr>
          <w:rFonts w:hint="eastAsia" w:ascii="楷体" w:hAnsi="楷体" w:eastAsia="楷体" w:cs="楷体"/>
          <w:sz w:val="32"/>
          <w:szCs w:val="32"/>
        </w:rPr>
      </w:pPr>
      <w:r>
        <w:rPr>
          <w:rFonts w:hint="eastAsia" w:ascii="楷体" w:hAnsi="楷体" w:eastAsia="楷体" w:cs="楷体"/>
          <w:sz w:val="32"/>
          <w:szCs w:val="32"/>
        </w:rPr>
        <w:t>（一）预算执行、使用、管理总体情况。</w:t>
      </w:r>
    </w:p>
    <w:p w14:paraId="7153369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本部门整体支出和项目支出实行绩效目标管理，纳入2023年部门整体绩效目标的金额为923.98万元，其中，基本支出890.98万元，项目支出33万元。</w:t>
      </w:r>
    </w:p>
    <w:p w14:paraId="0FB23777">
      <w:pPr>
        <w:numPr>
          <w:ilvl w:val="0"/>
          <w:numId w:val="2"/>
        </w:numPr>
        <w:rPr>
          <w:rFonts w:hint="eastAsia" w:ascii="楷体" w:hAnsi="楷体" w:eastAsia="楷体" w:cs="楷体"/>
          <w:sz w:val="32"/>
          <w:szCs w:val="32"/>
        </w:rPr>
      </w:pPr>
      <w:r>
        <w:rPr>
          <w:rFonts w:hint="eastAsia" w:ascii="楷体" w:hAnsi="楷体" w:eastAsia="楷体" w:cs="楷体"/>
          <w:sz w:val="32"/>
          <w:szCs w:val="32"/>
        </w:rPr>
        <w:t>部门预算执行情况</w:t>
      </w:r>
    </w:p>
    <w:p w14:paraId="602A955F">
      <w:pPr>
        <w:numPr>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（1）人员类项目：其中工资性支出</w:t>
      </w:r>
      <w:r>
        <w:rPr>
          <w:rFonts w:hint="eastAsia" w:ascii="仿宋_GB2312" w:hAnsi="仿宋_GB2312" w:eastAsia="仿宋_GB2312" w:cs="仿宋_GB2312"/>
          <w:sz w:val="32"/>
          <w:szCs w:val="32"/>
          <w:lang w:val="en-US" w:eastAsia="zh-CN"/>
        </w:rPr>
        <w:t>496.11</w:t>
      </w:r>
      <w:r>
        <w:rPr>
          <w:rFonts w:hint="eastAsia" w:ascii="仿宋_GB2312" w:hAnsi="仿宋_GB2312" w:eastAsia="仿宋_GB2312" w:cs="仿宋_GB2312"/>
          <w:sz w:val="32"/>
          <w:szCs w:val="32"/>
        </w:rPr>
        <w:t>万元，社会保险经费</w:t>
      </w:r>
      <w:r>
        <w:rPr>
          <w:rFonts w:hint="eastAsia" w:ascii="仿宋_GB2312" w:hAnsi="仿宋_GB2312" w:eastAsia="仿宋_GB2312" w:cs="仿宋_GB2312"/>
          <w:sz w:val="32"/>
          <w:szCs w:val="32"/>
          <w:lang w:val="en-US" w:eastAsia="zh-CN"/>
        </w:rPr>
        <w:t>108.08</w:t>
      </w:r>
      <w:r>
        <w:rPr>
          <w:rFonts w:hint="eastAsia" w:ascii="仿宋_GB2312" w:hAnsi="仿宋_GB2312" w:eastAsia="仿宋_GB2312" w:cs="仿宋_GB2312"/>
          <w:sz w:val="32"/>
          <w:szCs w:val="32"/>
        </w:rPr>
        <w:t>万元，住房公积金</w:t>
      </w:r>
      <w:r>
        <w:rPr>
          <w:rFonts w:hint="eastAsia" w:ascii="仿宋_GB2312" w:hAnsi="仿宋_GB2312" w:eastAsia="仿宋_GB2312" w:cs="仿宋_GB2312"/>
          <w:sz w:val="32"/>
          <w:szCs w:val="32"/>
          <w:lang w:val="en-US" w:eastAsia="zh-CN"/>
        </w:rPr>
        <w:t>15.79</w:t>
      </w:r>
      <w:r>
        <w:rPr>
          <w:rFonts w:hint="eastAsia" w:ascii="仿宋_GB2312" w:hAnsi="仿宋_GB2312" w:eastAsia="仿宋_GB2312" w:cs="仿宋_GB2312"/>
          <w:sz w:val="32"/>
          <w:szCs w:val="32"/>
        </w:rPr>
        <w:t>万元，对个人和家庭补助</w:t>
      </w:r>
      <w:r>
        <w:rPr>
          <w:rFonts w:hint="eastAsia" w:ascii="仿宋_GB2312" w:hAnsi="仿宋_GB2312" w:eastAsia="仿宋_GB2312" w:cs="仿宋_GB2312"/>
          <w:sz w:val="32"/>
          <w:szCs w:val="32"/>
          <w:lang w:val="en-US" w:eastAsia="zh-CN"/>
        </w:rPr>
        <w:t>59.1</w:t>
      </w:r>
      <w:r>
        <w:rPr>
          <w:rFonts w:hint="eastAsia" w:ascii="仿宋_GB2312" w:hAnsi="仿宋_GB2312" w:eastAsia="仿宋_GB2312" w:cs="仿宋_GB2312"/>
          <w:sz w:val="32"/>
          <w:szCs w:val="32"/>
        </w:rPr>
        <w:t>万元等，共计</w:t>
      </w:r>
      <w:r>
        <w:rPr>
          <w:rFonts w:hint="eastAsia" w:ascii="仿宋_GB2312" w:hAnsi="仿宋_GB2312" w:eastAsia="仿宋_GB2312" w:cs="仿宋_GB2312"/>
          <w:sz w:val="32"/>
          <w:szCs w:val="32"/>
          <w:lang w:val="en-US" w:eastAsia="zh-CN"/>
        </w:rPr>
        <w:t>679.08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21217C9B">
      <w:pPr>
        <w:numPr>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（2）运转类（公用）项目：公用经费</w:t>
      </w:r>
      <w:r>
        <w:rPr>
          <w:rFonts w:hint="eastAsia" w:ascii="仿宋_GB2312" w:hAnsi="仿宋_GB2312" w:eastAsia="仿宋_GB2312" w:cs="仿宋_GB2312"/>
          <w:sz w:val="32"/>
          <w:szCs w:val="32"/>
          <w:lang w:val="en-US" w:eastAsia="zh-CN"/>
        </w:rPr>
        <w:t>170.97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4A9215D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1.基本支出情况</w:t>
      </w:r>
    </w:p>
    <w:p w14:paraId="4A90C1A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w:t>
      </w:r>
      <w:r>
        <w:rPr>
          <w:rFonts w:hint="eastAsia" w:ascii="仿宋_GB2312" w:hAnsi="仿宋_GB2312" w:eastAsia="仿宋_GB2312" w:cs="仿宋_GB2312"/>
          <w:sz w:val="32"/>
          <w:szCs w:val="32"/>
          <w:lang w:val="en-US" w:eastAsia="zh-CN"/>
        </w:rPr>
        <w:t>850.05</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679.08</w:t>
      </w:r>
      <w:r>
        <w:rPr>
          <w:rFonts w:hint="eastAsia" w:ascii="仿宋_GB2312" w:hAnsi="仿宋_GB2312" w:eastAsia="仿宋_GB2312" w:cs="仿宋_GB2312"/>
          <w:sz w:val="32"/>
          <w:szCs w:val="32"/>
        </w:rPr>
        <w:t>万元，主要包括：（基本工资、津贴补贴、奖金、社会保障缴费、伙食补助费、绩效工资、住房公积金、医疗费、其他工资福利支出等）；公用经费</w:t>
      </w:r>
      <w:r>
        <w:rPr>
          <w:rFonts w:hint="eastAsia" w:ascii="仿宋_GB2312" w:hAnsi="仿宋_GB2312" w:eastAsia="仿宋_GB2312" w:cs="仿宋_GB2312"/>
          <w:sz w:val="32"/>
          <w:szCs w:val="32"/>
          <w:lang w:val="en-US" w:eastAsia="zh-CN"/>
        </w:rPr>
        <w:t>170.97</w:t>
      </w:r>
      <w:r>
        <w:rPr>
          <w:rFonts w:hint="eastAsia" w:ascii="仿宋_GB2312" w:hAnsi="仿宋_GB2312" w:eastAsia="仿宋_GB2312" w:cs="仿宋_GB2312"/>
          <w:sz w:val="32"/>
          <w:szCs w:val="32"/>
        </w:rPr>
        <w:t>万元，主要包括：（办公费、印刷费、差旅费、公务接待费、劳务费、工会经费、福利费、其他交通费用、其他商品和服务支出、办公设备购置等）。</w:t>
      </w:r>
    </w:p>
    <w:p w14:paraId="48706C0D">
      <w:pPr>
        <w:numPr>
          <w:ilvl w:val="0"/>
          <w:numId w:val="3"/>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项目支出情况</w:t>
      </w:r>
    </w:p>
    <w:p w14:paraId="33A6679B">
      <w:pPr>
        <w:numPr>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（1）专项资金安排和使用管理情况</w:t>
      </w:r>
    </w:p>
    <w:p w14:paraId="2649E3BB">
      <w:pPr>
        <w:numPr>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年政府办安排</w:t>
      </w:r>
      <w:r>
        <w:rPr>
          <w:rFonts w:hint="eastAsia" w:ascii="仿宋_GB2312" w:hAnsi="仿宋_GB2312" w:eastAsia="仿宋_GB2312" w:cs="仿宋_GB2312"/>
          <w:sz w:val="32"/>
          <w:szCs w:val="32"/>
          <w:lang w:eastAsia="zh-CN"/>
        </w:rPr>
        <w:t>综合业务工作专项(政府督查、防范和处置非法集资、优化营商环境、真抓实干、政研等工作)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网络维护经费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两个</w:t>
      </w:r>
      <w:r>
        <w:rPr>
          <w:rFonts w:hint="eastAsia" w:ascii="仿宋_GB2312" w:hAnsi="仿宋_GB2312" w:eastAsia="仿宋_GB2312" w:cs="仿宋_GB2312"/>
          <w:sz w:val="32"/>
          <w:szCs w:val="32"/>
        </w:rPr>
        <w:t>个专项资金，安排预算资金分别为</w:t>
      </w:r>
      <w:r>
        <w:rPr>
          <w:rFonts w:hint="eastAsia" w:ascii="仿宋_GB2312" w:hAnsi="仿宋_GB2312" w:eastAsia="仿宋_GB2312" w:cs="仿宋_GB2312"/>
          <w:sz w:val="32"/>
          <w:szCs w:val="32"/>
          <w:lang w:val="en-US" w:eastAsia="zh-CN"/>
        </w:rPr>
        <w:t>23.4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4085857D">
      <w:pPr>
        <w:numPr>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（2）除专项资金以外的其他项目支出情况。</w:t>
      </w:r>
    </w:p>
    <w:p w14:paraId="6A01DA99">
      <w:pPr>
        <w:numPr>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043B210F">
      <w:pPr>
        <w:numPr>
          <w:ilvl w:val="0"/>
          <w:numId w:val="2"/>
        </w:numPr>
        <w:ind w:left="0" w:leftChars="0" w:firstLine="0" w:firstLineChars="0"/>
        <w:rPr>
          <w:rFonts w:hint="eastAsia" w:ascii="楷体" w:hAnsi="楷体" w:eastAsia="楷体" w:cs="楷体"/>
          <w:sz w:val="32"/>
          <w:szCs w:val="32"/>
        </w:rPr>
      </w:pPr>
      <w:r>
        <w:rPr>
          <w:rFonts w:hint="eastAsia" w:ascii="楷体" w:hAnsi="楷体" w:eastAsia="楷体" w:cs="楷体"/>
          <w:sz w:val="32"/>
          <w:szCs w:val="32"/>
        </w:rPr>
        <w:t>"三公"经费使用和管理情况</w:t>
      </w:r>
    </w:p>
    <w:p w14:paraId="12DF10BE">
      <w:pPr>
        <w:numPr>
          <w:numId w:val="0"/>
        </w:numPr>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我单位严格执行中央“八项”规定，本着政府过“紧日子”思想，带头执行厉行节约，“三公”经费执行严格、规范。202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年公务接待费预算数</w:t>
      </w:r>
      <w:r>
        <w:rPr>
          <w:rFonts w:hint="eastAsia"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rPr>
        <w:t>万，决算数</w:t>
      </w:r>
      <w:r>
        <w:rPr>
          <w:rFonts w:hint="eastAsia" w:ascii="仿宋_GB2312" w:hAnsi="仿宋_GB2312" w:eastAsia="仿宋_GB2312" w:cs="仿宋_GB2312"/>
          <w:sz w:val="32"/>
          <w:szCs w:val="32"/>
          <w:lang w:val="en-US" w:eastAsia="zh-CN"/>
        </w:rPr>
        <w:t>4.86</w:t>
      </w:r>
      <w:r>
        <w:rPr>
          <w:rFonts w:hint="eastAsia" w:ascii="仿宋_GB2312" w:hAnsi="仿宋_GB2312" w:eastAsia="仿宋_GB2312" w:cs="仿宋_GB2312"/>
          <w:sz w:val="32"/>
          <w:szCs w:val="32"/>
        </w:rPr>
        <w:t>万，比上年减少</w:t>
      </w:r>
      <w:r>
        <w:rPr>
          <w:rFonts w:hint="eastAsia" w:ascii="仿宋_GB2312" w:hAnsi="仿宋_GB2312" w:eastAsia="仿宋_GB2312" w:cs="仿宋_GB2312"/>
          <w:sz w:val="32"/>
          <w:szCs w:val="32"/>
          <w:lang w:val="en-US" w:eastAsia="zh-CN"/>
        </w:rPr>
        <w:t>0.16</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3.05</w:t>
      </w:r>
      <w:r>
        <w:rPr>
          <w:rFonts w:hint="eastAsia" w:ascii="仿宋_GB2312" w:hAnsi="仿宋_GB2312" w:eastAsia="仿宋_GB2312" w:cs="仿宋_GB2312"/>
          <w:sz w:val="32"/>
          <w:szCs w:val="32"/>
        </w:rPr>
        <w:t>%。公务用车运行与维护费</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32.5万元，决算数16.34万元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10.65</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39.46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“因公”出国（境）费用</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19FA9E3E">
      <w:pPr>
        <w:numPr>
          <w:ilvl w:val="0"/>
          <w:numId w:val="4"/>
        </w:numPr>
        <w:rPr>
          <w:rFonts w:hint="eastAsia" w:ascii="黑体" w:hAnsi="黑体" w:eastAsia="黑体" w:cs="黑体"/>
          <w:sz w:val="32"/>
          <w:szCs w:val="32"/>
        </w:rPr>
      </w:pPr>
      <w:r>
        <w:rPr>
          <w:rFonts w:hint="eastAsia" w:ascii="黑体" w:hAnsi="黑体" w:eastAsia="黑体" w:cs="黑体"/>
          <w:sz w:val="32"/>
          <w:szCs w:val="32"/>
        </w:rPr>
        <w:t>政府性基金预算支出情况</w:t>
      </w:r>
    </w:p>
    <w:p w14:paraId="1B33A32A">
      <w:pPr>
        <w:numPr>
          <w:numId w:val="0"/>
        </w:num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BF8496F">
      <w:pPr>
        <w:numPr>
          <w:ilvl w:val="0"/>
          <w:numId w:val="4"/>
        </w:numPr>
        <w:ind w:left="0" w:leftChars="0" w:firstLine="0" w:firstLineChars="0"/>
        <w:rPr>
          <w:rFonts w:hint="eastAsia" w:ascii="黑体" w:hAnsi="黑体" w:eastAsia="黑体" w:cs="黑体"/>
          <w:sz w:val="32"/>
          <w:szCs w:val="32"/>
        </w:rPr>
      </w:pPr>
      <w:r>
        <w:rPr>
          <w:rFonts w:hint="eastAsia" w:ascii="黑体" w:hAnsi="黑体" w:eastAsia="黑体" w:cs="黑体"/>
          <w:sz w:val="32"/>
          <w:szCs w:val="32"/>
        </w:rPr>
        <w:t>国有资本经营预算支出情况</w:t>
      </w:r>
    </w:p>
    <w:p w14:paraId="368B1BCA">
      <w:pPr>
        <w:numPr>
          <w:numId w:val="0"/>
        </w:numPr>
        <w:ind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6AFEE5D">
      <w:pPr>
        <w:numPr>
          <w:ilvl w:val="0"/>
          <w:numId w:val="4"/>
        </w:numPr>
        <w:ind w:left="0" w:leftChars="0" w:firstLine="0" w:firstLineChars="0"/>
        <w:rPr>
          <w:rFonts w:hint="eastAsia" w:ascii="黑体" w:hAnsi="黑体" w:eastAsia="黑体" w:cs="黑体"/>
          <w:sz w:val="32"/>
          <w:szCs w:val="32"/>
        </w:rPr>
      </w:pPr>
      <w:r>
        <w:rPr>
          <w:rFonts w:hint="eastAsia" w:ascii="黑体" w:hAnsi="黑体" w:eastAsia="黑体" w:cs="黑体"/>
          <w:sz w:val="32"/>
          <w:szCs w:val="32"/>
        </w:rPr>
        <w:t>社会保险基金预算支出情况</w:t>
      </w:r>
    </w:p>
    <w:p w14:paraId="3A5E84D3">
      <w:pPr>
        <w:numPr>
          <w:numId w:val="0"/>
        </w:numPr>
        <w:ind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1B302405">
      <w:pPr>
        <w:rPr>
          <w:rFonts w:hint="eastAsia" w:ascii="黑体" w:hAnsi="黑体" w:eastAsia="黑体" w:cs="黑体"/>
          <w:sz w:val="32"/>
          <w:szCs w:val="32"/>
        </w:rPr>
      </w:pPr>
      <w:r>
        <w:rPr>
          <w:rFonts w:hint="eastAsia" w:ascii="黑体" w:hAnsi="黑体" w:eastAsia="黑体" w:cs="黑体"/>
          <w:sz w:val="32"/>
          <w:szCs w:val="32"/>
        </w:rPr>
        <w:t>六、部门整体支出绩效情况</w:t>
      </w:r>
    </w:p>
    <w:p w14:paraId="0BC3D4C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（一）综合评价结论。部门整体支出绩效评价共性指标评分为95分，整体支出符合绩效评价要求。</w:t>
      </w:r>
    </w:p>
    <w:p w14:paraId="60EF38B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（二）评价指标分析（或综合评价情况）。202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年，县政府坚持以习近平新时代中国特色社会主义思想为指导，坚决贯彻落实党的二十大精神，紧紧围绕</w:t>
      </w:r>
      <w:r>
        <w:rPr>
          <w:rFonts w:hint="eastAsia" w:ascii="仿宋_GB2312" w:hAnsi="仿宋_GB2312" w:eastAsia="仿宋_GB2312" w:cs="仿宋_GB2312"/>
          <w:sz w:val="32"/>
          <w:szCs w:val="32"/>
          <w:lang w:eastAsia="zh-CN"/>
        </w:rPr>
        <w:t>政府</w:t>
      </w:r>
      <w:r>
        <w:rPr>
          <w:rFonts w:hint="eastAsia" w:ascii="仿宋_GB2312" w:hAnsi="仿宋_GB2312" w:eastAsia="仿宋_GB2312" w:cs="仿宋_GB2312"/>
          <w:sz w:val="32"/>
          <w:szCs w:val="32"/>
        </w:rPr>
        <w:t>重点工作，</w:t>
      </w:r>
      <w:r>
        <w:rPr>
          <w:rFonts w:hint="eastAsia" w:ascii="仿宋_GB2312" w:hAnsi="仿宋_GB2312" w:eastAsia="仿宋_GB2312" w:cs="仿宋_GB2312"/>
          <w:sz w:val="32"/>
          <w:szCs w:val="32"/>
          <w:lang w:eastAsia="zh-CN"/>
        </w:rPr>
        <w:t>锚定“三高四新”美好蓝图</w:t>
      </w:r>
      <w:r>
        <w:rPr>
          <w:rFonts w:hint="eastAsia" w:ascii="仿宋_GB2312" w:hAnsi="仿宋_GB2312" w:eastAsia="仿宋_GB2312" w:cs="仿宋_GB2312"/>
          <w:sz w:val="32"/>
          <w:szCs w:val="32"/>
        </w:rPr>
        <w:t>，积极</w:t>
      </w:r>
      <w:r>
        <w:rPr>
          <w:rFonts w:hint="eastAsia" w:ascii="仿宋_GB2312" w:hAnsi="仿宋_GB2312" w:eastAsia="仿宋_GB2312" w:cs="仿宋_GB2312"/>
          <w:sz w:val="32"/>
          <w:szCs w:val="32"/>
          <w:lang w:eastAsia="zh-CN"/>
        </w:rPr>
        <w:t>融入“五新四城”战略，团结奋斗、真抓实干</w:t>
      </w:r>
      <w:r>
        <w:rPr>
          <w:rFonts w:hint="eastAsia" w:ascii="仿宋_GB2312" w:hAnsi="仿宋_GB2312" w:eastAsia="仿宋_GB2312" w:cs="仿宋_GB2312"/>
          <w:sz w:val="32"/>
          <w:szCs w:val="32"/>
        </w:rPr>
        <w:t>，出色地完成了各项工作任务，为全县经济社会发展作出了应有贡献。（1）落实有效率：综合协调凝聚人心，民生办事温暖人心，建议提案鼓舞人心。（2）服务有质量：办文办会更精细，值班值守更严谨，参谋服务更高效。（3）改革有成效：金融化风险守住了底线，创新抓改革优化了环境，同心闯难关守护了平安。（4）勤廉有形象：强化政治领悟，以政治铸忠诚之魂，强化学习领悟，以学习提服务之能，强化廉洁觉悟，以廉洁树正气之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年政府办整体支出共计</w:t>
      </w:r>
      <w:r>
        <w:rPr>
          <w:rFonts w:hint="eastAsia" w:ascii="仿宋_GB2312" w:hAnsi="仿宋_GB2312" w:eastAsia="仿宋_GB2312" w:cs="仿宋_GB2312"/>
          <w:sz w:val="32"/>
          <w:szCs w:val="32"/>
          <w:lang w:val="en-US" w:eastAsia="zh-CN"/>
        </w:rPr>
        <w:t>1012.28</w:t>
      </w:r>
      <w:r>
        <w:rPr>
          <w:rFonts w:hint="eastAsia" w:ascii="仿宋_GB2312" w:hAnsi="仿宋_GB2312" w:eastAsia="仿宋_GB2312" w:cs="仿宋_GB2312"/>
          <w:sz w:val="32"/>
          <w:szCs w:val="32"/>
        </w:rPr>
        <w:t>万元，主要用于机关运行及一般行政管理支出，其中用于工资福利支出</w:t>
      </w:r>
      <w:r>
        <w:rPr>
          <w:rFonts w:hint="eastAsia" w:ascii="仿宋_GB2312" w:hAnsi="仿宋_GB2312" w:eastAsia="仿宋_GB2312" w:cs="仿宋_GB2312"/>
          <w:sz w:val="32"/>
          <w:szCs w:val="32"/>
          <w:lang w:val="en-US" w:eastAsia="zh-CN"/>
        </w:rPr>
        <w:t>619.98</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170.97</w:t>
      </w:r>
      <w:r>
        <w:rPr>
          <w:rFonts w:hint="eastAsia" w:ascii="仿宋_GB2312" w:hAnsi="仿宋_GB2312" w:eastAsia="仿宋_GB2312" w:cs="仿宋_GB2312"/>
          <w:sz w:val="32"/>
          <w:szCs w:val="32"/>
        </w:rPr>
        <w:t>万元。</w:t>
      </w:r>
    </w:p>
    <w:p w14:paraId="4DA10BD7">
      <w:pPr>
        <w:rPr>
          <w:rFonts w:hint="eastAsia" w:ascii="黑体" w:hAnsi="黑体" w:eastAsia="黑体" w:cs="黑体"/>
          <w:sz w:val="32"/>
          <w:szCs w:val="32"/>
        </w:rPr>
      </w:pPr>
      <w:bookmarkStart w:id="0" w:name="_GoBack"/>
      <w:bookmarkEnd w:id="0"/>
      <w:r>
        <w:rPr>
          <w:rFonts w:hint="eastAsia" w:ascii="黑体" w:hAnsi="黑体" w:eastAsia="黑体" w:cs="黑体"/>
          <w:sz w:val="32"/>
          <w:szCs w:val="32"/>
        </w:rPr>
        <w:t>七、存在的问题及原因分析</w:t>
      </w:r>
    </w:p>
    <w:p w14:paraId="1AC96B7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无支出偏离绩效目标，预算安排的资金与实际支出存在差异</w:t>
      </w:r>
      <w:r>
        <w:rPr>
          <w:rFonts w:hint="eastAsia" w:ascii="仿宋_GB2312" w:hAnsi="仿宋_GB2312" w:eastAsia="仿宋_GB2312" w:cs="仿宋_GB2312"/>
          <w:sz w:val="32"/>
          <w:szCs w:val="32"/>
          <w:lang w:eastAsia="zh-CN"/>
        </w:rPr>
        <w:t>。</w:t>
      </w:r>
    </w:p>
    <w:p w14:paraId="7C662776">
      <w:pPr>
        <w:numPr>
          <w:ilvl w:val="0"/>
          <w:numId w:val="5"/>
        </w:numPr>
        <w:rPr>
          <w:rFonts w:hint="eastAsia" w:ascii="黑体" w:hAnsi="黑体" w:eastAsia="黑体" w:cs="黑体"/>
          <w:sz w:val="32"/>
          <w:szCs w:val="32"/>
        </w:rPr>
      </w:pPr>
      <w:r>
        <w:rPr>
          <w:rFonts w:hint="eastAsia" w:ascii="黑体" w:hAnsi="黑体" w:eastAsia="黑体" w:cs="黑体"/>
          <w:sz w:val="32"/>
          <w:szCs w:val="32"/>
        </w:rPr>
        <w:t>下一步改进措施</w:t>
      </w:r>
    </w:p>
    <w:p w14:paraId="408ECB14">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预算安排要更精细、准确，安排的支出经济科目要准确，无预算不支出。</w:t>
      </w:r>
    </w:p>
    <w:p w14:paraId="00F7D5C2">
      <w:pPr>
        <w:numPr>
          <w:ilvl w:val="0"/>
          <w:numId w:val="5"/>
        </w:numPr>
        <w:ind w:left="0" w:leftChars="0" w:firstLine="0" w:firstLineChars="0"/>
        <w:rPr>
          <w:rFonts w:hint="eastAsia" w:ascii="黑体" w:hAnsi="黑体" w:eastAsia="黑体" w:cs="黑体"/>
          <w:sz w:val="32"/>
          <w:szCs w:val="32"/>
        </w:rPr>
      </w:pPr>
      <w:r>
        <w:rPr>
          <w:rFonts w:hint="eastAsia" w:ascii="黑体" w:hAnsi="黑体" w:eastAsia="黑体" w:cs="黑体"/>
          <w:sz w:val="32"/>
          <w:szCs w:val="32"/>
        </w:rPr>
        <w:t>其他需要说明的情况</w:t>
      </w:r>
      <w:r>
        <w:rPr>
          <w:rFonts w:hint="eastAsia" w:ascii="黑体" w:hAnsi="黑体" w:eastAsia="黑体" w:cs="黑体"/>
          <w:sz w:val="32"/>
          <w:szCs w:val="32"/>
          <w:lang w:eastAsia="zh-CN"/>
        </w:rPr>
        <w:t>（无）</w:t>
      </w:r>
    </w:p>
    <w:p w14:paraId="4EA26931">
      <w:pPr>
        <w:numPr>
          <w:numId w:val="0"/>
        </w:numPr>
        <w:ind w:leftChars="0"/>
        <w:rPr>
          <w:rFonts w:hint="eastAsia"/>
        </w:rPr>
      </w:pPr>
      <w:r>
        <w:rPr>
          <w:rFonts w:hint="eastAsia" w:ascii="黑体" w:hAnsi="黑体" w:eastAsia="黑体" w:cs="黑体"/>
          <w:sz w:val="32"/>
          <w:szCs w:val="32"/>
          <w:lang w:val="en-US" w:eastAsia="zh-CN"/>
        </w:rPr>
        <w:t xml:space="preserve"> </w:t>
      </w:r>
    </w:p>
    <w:p w14:paraId="60983974">
      <w:pPr>
        <w:rPr>
          <w:rFonts w:hint="eastAsia"/>
        </w:rPr>
      </w:pPr>
      <w:r>
        <w:rPr>
          <w:rFonts w:hint="eastAsia"/>
        </w:rPr>
        <w:t>报告应包括以下附件：</w:t>
      </w:r>
    </w:p>
    <w:p w14:paraId="08118F9F">
      <w:pPr>
        <w:rPr>
          <w:rFonts w:hint="eastAsia"/>
        </w:rPr>
      </w:pPr>
      <w:r>
        <w:rPr>
          <w:rFonts w:hint="eastAsia"/>
        </w:rPr>
        <w:t xml:space="preserve">1.部门整体支出绩效评价基础数据表  </w:t>
      </w:r>
    </w:p>
    <w:p w14:paraId="45CEA2DD">
      <w:pPr>
        <w:rPr>
          <w:rFonts w:hint="eastAsia"/>
        </w:rPr>
      </w:pPr>
      <w:r>
        <w:rPr>
          <w:rFonts w:hint="eastAsia"/>
        </w:rPr>
        <w:t>2.部门整体支出绩效自评表</w:t>
      </w:r>
    </w:p>
    <w:p w14:paraId="101AA1D3">
      <w:pPr>
        <w:rPr>
          <w:rFonts w:hint="eastAsia"/>
        </w:rPr>
      </w:pPr>
    </w:p>
    <w:p w14:paraId="74CAF485">
      <w:pPr>
        <w:rPr>
          <w:rFonts w:hint="eastAsia"/>
        </w:rPr>
      </w:pPr>
    </w:p>
    <w:p w14:paraId="682C461C">
      <w:pPr>
        <w:rPr>
          <w:rFonts w:hint="eastAsia"/>
        </w:rPr>
      </w:pPr>
    </w:p>
    <w:p w14:paraId="5A697486"/>
    <w:p w14:paraId="76C15356"/>
    <w:p w14:paraId="669BB557"/>
    <w:p w14:paraId="4D2C7763"/>
    <w:p w14:paraId="7ADB8D66"/>
    <w:p w14:paraId="61C2ED53"/>
    <w:p w14:paraId="32FE7EE9"/>
    <w:p w14:paraId="390339E4"/>
    <w:p w14:paraId="1ADA9DB4"/>
    <w:p w14:paraId="3519FCB2"/>
    <w:p w14:paraId="78972958"/>
    <w:p w14:paraId="7E1CF0C8"/>
    <w:p w14:paraId="74F42120"/>
    <w:p w14:paraId="6CE618E0"/>
    <w:p w14:paraId="04451CE7"/>
    <w:p w14:paraId="3CA638D1"/>
    <w:p w14:paraId="5C49ADBF"/>
    <w:p w14:paraId="4CEBB6F1"/>
    <w:p w14:paraId="1F9FC6C4"/>
    <w:p w14:paraId="2A025FEE"/>
    <w:p w14:paraId="090C19A5"/>
    <w:p w14:paraId="41F0BB85"/>
    <w:p w14:paraId="302330DD"/>
    <w:p w14:paraId="32FBC538"/>
    <w:p w14:paraId="28395DBA"/>
    <w:p w14:paraId="071E906F"/>
    <w:p w14:paraId="576ABB94"/>
    <w:p w14:paraId="08A9FA4E"/>
    <w:p w14:paraId="16DDACB9"/>
    <w:p w14:paraId="7CA91AE8"/>
    <w:p w14:paraId="432B7825"/>
    <w:p w14:paraId="0A414C19"/>
    <w:p w14:paraId="0C950E7C"/>
    <w:p w14:paraId="66CBB633"/>
    <w:p w14:paraId="3237CE39">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14:paraId="0ACBBCCF">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480" w:lineRule="exact"/>
        <w:ind w:left="91"/>
        <w:jc w:val="center"/>
        <w:textAlignment w:val="auto"/>
        <w:rPr>
          <w:rFonts w:hint="eastAsia" w:ascii="方正小标宋简体" w:hAnsi="方正小标宋简体" w:eastAsia="方正小标宋简体" w:cs="方正小标宋简体"/>
          <w:color w:val="000000"/>
          <w:kern w:val="0"/>
          <w:sz w:val="36"/>
          <w:szCs w:val="36"/>
          <w:lang w:val="en-US" w:eastAsia="zh-CN"/>
        </w:rPr>
      </w:pPr>
      <w:r>
        <w:rPr>
          <w:rFonts w:hint="eastAsia" w:ascii="方正小标宋简体" w:hAnsi="方正小标宋简体" w:eastAsia="方正小标宋简体" w:cs="方正小标宋简体"/>
          <w:color w:val="000000"/>
          <w:kern w:val="0"/>
          <w:sz w:val="36"/>
          <w:szCs w:val="36"/>
          <w:lang w:val="en-US" w:eastAsia="zh-CN"/>
        </w:rPr>
        <w:t>部门整体支出绩效评价基础数据表</w:t>
      </w:r>
    </w:p>
    <w:p w14:paraId="15B48B47">
      <w:pPr>
        <w:widowControl/>
        <w:tabs>
          <w:tab w:val="left" w:pos="3611"/>
          <w:tab w:val="left" w:pos="4791"/>
          <w:tab w:val="left" w:pos="5951"/>
          <w:tab w:val="left" w:pos="7071"/>
          <w:tab w:val="left" w:pos="8191"/>
          <w:tab w:val="left" w:pos="9311"/>
        </w:tabs>
        <w:ind w:left="91"/>
        <w:jc w:val="left"/>
        <w:rPr>
          <w:rFonts w:hint="default" w:eastAsia="仿宋_GB2312"/>
          <w:kern w:val="0"/>
          <w:sz w:val="24"/>
          <w:lang w:val="en-US" w:eastAsia="zh-CN"/>
        </w:rPr>
      </w:pPr>
      <w:r>
        <w:rPr>
          <w:rFonts w:hint="eastAsia" w:eastAsia="仿宋_GB2312"/>
          <w:kern w:val="0"/>
          <w:sz w:val="24"/>
          <w:lang w:val="en-US" w:eastAsia="zh-CN"/>
        </w:rPr>
        <w:t xml:space="preserve">填报单位：                                        </w:t>
      </w:r>
    </w:p>
    <w:tbl>
      <w:tblPr>
        <w:tblStyle w:val="4"/>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0DB2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14:paraId="628369F3">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财政供养人员情况</w:t>
            </w:r>
          </w:p>
        </w:tc>
        <w:tc>
          <w:tcPr>
            <w:tcW w:w="2038" w:type="dxa"/>
            <w:gridSpan w:val="2"/>
            <w:noWrap w:val="0"/>
            <w:vAlign w:val="center"/>
          </w:tcPr>
          <w:p w14:paraId="03731A2C">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编制数</w:t>
            </w:r>
          </w:p>
        </w:tc>
        <w:tc>
          <w:tcPr>
            <w:tcW w:w="2240" w:type="dxa"/>
            <w:gridSpan w:val="2"/>
            <w:noWrap w:val="0"/>
            <w:vAlign w:val="center"/>
          </w:tcPr>
          <w:p w14:paraId="50834C56">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年实际在职人数</w:t>
            </w:r>
          </w:p>
        </w:tc>
        <w:tc>
          <w:tcPr>
            <w:tcW w:w="1832" w:type="dxa"/>
            <w:gridSpan w:val="2"/>
            <w:noWrap w:val="0"/>
            <w:vAlign w:val="center"/>
          </w:tcPr>
          <w:p w14:paraId="04BEA9EF">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控制率</w:t>
            </w:r>
          </w:p>
        </w:tc>
      </w:tr>
      <w:tr w14:paraId="5AA1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354" w:type="dxa"/>
            <w:vMerge w:val="continue"/>
            <w:noWrap w:val="0"/>
            <w:vAlign w:val="center"/>
          </w:tcPr>
          <w:p w14:paraId="4C303943">
            <w:pPr>
              <w:widowControl/>
              <w:jc w:val="left"/>
              <w:rPr>
                <w:rFonts w:hint="eastAsia" w:ascii="仿宋" w:hAnsi="仿宋" w:eastAsia="仿宋" w:cs="仿宋"/>
                <w:b w:val="0"/>
                <w:bCs w:val="0"/>
                <w:kern w:val="0"/>
                <w:sz w:val="20"/>
                <w:szCs w:val="20"/>
              </w:rPr>
            </w:pPr>
          </w:p>
        </w:tc>
        <w:tc>
          <w:tcPr>
            <w:tcW w:w="2038" w:type="dxa"/>
            <w:gridSpan w:val="2"/>
            <w:noWrap w:val="0"/>
            <w:vAlign w:val="center"/>
          </w:tcPr>
          <w:p w14:paraId="4376E8DC">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57</w:t>
            </w:r>
          </w:p>
        </w:tc>
        <w:tc>
          <w:tcPr>
            <w:tcW w:w="2240" w:type="dxa"/>
            <w:gridSpan w:val="2"/>
            <w:noWrap w:val="0"/>
            <w:vAlign w:val="center"/>
          </w:tcPr>
          <w:p w14:paraId="77F00ACC">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47</w:t>
            </w:r>
          </w:p>
        </w:tc>
        <w:tc>
          <w:tcPr>
            <w:tcW w:w="1832" w:type="dxa"/>
            <w:gridSpan w:val="2"/>
            <w:noWrap w:val="0"/>
            <w:vAlign w:val="center"/>
          </w:tcPr>
          <w:p w14:paraId="6EDDE255">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82.5%</w:t>
            </w:r>
          </w:p>
        </w:tc>
      </w:tr>
      <w:tr w14:paraId="298F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716C201">
            <w:pPr>
              <w:widowControl/>
              <w:jc w:val="center"/>
              <w:rPr>
                <w:rFonts w:hint="eastAsia" w:ascii="仿宋" w:hAnsi="仿宋" w:eastAsia="仿宋" w:cs="仿宋"/>
                <w:b w:val="0"/>
                <w:bCs w:val="0"/>
                <w:kern w:val="0"/>
                <w:sz w:val="20"/>
                <w:szCs w:val="20"/>
                <w:lang w:eastAsia="zh-CN"/>
              </w:rPr>
            </w:pPr>
            <w:r>
              <w:rPr>
                <w:rFonts w:hint="eastAsia" w:ascii="仿宋" w:hAnsi="仿宋" w:eastAsia="仿宋" w:cs="仿宋"/>
                <w:b w:val="0"/>
                <w:bCs w:val="0"/>
                <w:kern w:val="0"/>
                <w:sz w:val="20"/>
                <w:szCs w:val="20"/>
              </w:rPr>
              <w:t>经费控制情况</w:t>
            </w:r>
            <w:r>
              <w:rPr>
                <w:rFonts w:hint="eastAsia" w:ascii="仿宋" w:hAnsi="仿宋" w:eastAsia="仿宋" w:cs="仿宋"/>
                <w:b w:val="0"/>
                <w:bCs w:val="0"/>
                <w:kern w:val="0"/>
                <w:sz w:val="20"/>
                <w:szCs w:val="20"/>
                <w:lang w:eastAsia="zh-CN"/>
              </w:rPr>
              <w:t>（万元）</w:t>
            </w:r>
          </w:p>
        </w:tc>
        <w:tc>
          <w:tcPr>
            <w:tcW w:w="2038" w:type="dxa"/>
            <w:gridSpan w:val="2"/>
            <w:noWrap w:val="0"/>
            <w:vAlign w:val="center"/>
          </w:tcPr>
          <w:p w14:paraId="3D1907ED">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22</w:t>
            </w:r>
            <w:r>
              <w:rPr>
                <w:rFonts w:hint="eastAsia" w:ascii="仿宋" w:hAnsi="仿宋" w:eastAsia="仿宋" w:cs="仿宋"/>
                <w:b w:val="0"/>
                <w:bCs w:val="0"/>
                <w:kern w:val="0"/>
                <w:sz w:val="20"/>
                <w:szCs w:val="20"/>
              </w:rPr>
              <w:t>年决算数</w:t>
            </w:r>
          </w:p>
        </w:tc>
        <w:tc>
          <w:tcPr>
            <w:tcW w:w="2240" w:type="dxa"/>
            <w:gridSpan w:val="2"/>
            <w:noWrap w:val="0"/>
            <w:vAlign w:val="center"/>
          </w:tcPr>
          <w:p w14:paraId="0CB44273">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年预算数</w:t>
            </w:r>
          </w:p>
        </w:tc>
        <w:tc>
          <w:tcPr>
            <w:tcW w:w="1832" w:type="dxa"/>
            <w:gridSpan w:val="2"/>
            <w:noWrap w:val="0"/>
            <w:vAlign w:val="center"/>
          </w:tcPr>
          <w:p w14:paraId="62F2DE01">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年决算数</w:t>
            </w:r>
          </w:p>
        </w:tc>
      </w:tr>
      <w:tr w14:paraId="4C23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96A38B4">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三公经费</w:t>
            </w:r>
          </w:p>
        </w:tc>
        <w:tc>
          <w:tcPr>
            <w:tcW w:w="2038" w:type="dxa"/>
            <w:gridSpan w:val="2"/>
            <w:noWrap w:val="0"/>
            <w:vAlign w:val="center"/>
          </w:tcPr>
          <w:p w14:paraId="7557D00E">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32.01</w:t>
            </w:r>
          </w:p>
        </w:tc>
        <w:tc>
          <w:tcPr>
            <w:tcW w:w="2240" w:type="dxa"/>
            <w:gridSpan w:val="2"/>
            <w:noWrap w:val="0"/>
            <w:vAlign w:val="center"/>
          </w:tcPr>
          <w:p w14:paraId="6E5A33C1">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43</w:t>
            </w:r>
          </w:p>
        </w:tc>
        <w:tc>
          <w:tcPr>
            <w:tcW w:w="1832" w:type="dxa"/>
            <w:gridSpan w:val="2"/>
            <w:noWrap w:val="0"/>
            <w:vAlign w:val="center"/>
          </w:tcPr>
          <w:p w14:paraId="1B6D68B9">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21.2</w:t>
            </w:r>
          </w:p>
        </w:tc>
      </w:tr>
      <w:tr w14:paraId="0B14C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A1489E0">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1、公务用车购置和维护经费</w:t>
            </w:r>
          </w:p>
        </w:tc>
        <w:tc>
          <w:tcPr>
            <w:tcW w:w="2038" w:type="dxa"/>
            <w:gridSpan w:val="2"/>
            <w:noWrap w:val="0"/>
            <w:vAlign w:val="center"/>
          </w:tcPr>
          <w:p w14:paraId="651C2A01">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26.99</w:t>
            </w:r>
          </w:p>
        </w:tc>
        <w:tc>
          <w:tcPr>
            <w:tcW w:w="2240" w:type="dxa"/>
            <w:gridSpan w:val="2"/>
            <w:noWrap w:val="0"/>
            <w:vAlign w:val="center"/>
          </w:tcPr>
          <w:p w14:paraId="1B1FBE02">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32.5</w:t>
            </w:r>
          </w:p>
        </w:tc>
        <w:tc>
          <w:tcPr>
            <w:tcW w:w="1832" w:type="dxa"/>
            <w:gridSpan w:val="2"/>
            <w:noWrap w:val="0"/>
            <w:vAlign w:val="center"/>
          </w:tcPr>
          <w:p w14:paraId="4B49A470">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16.34</w:t>
            </w:r>
          </w:p>
        </w:tc>
      </w:tr>
      <w:tr w14:paraId="78D1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FFD46FF">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其中：公车购置</w:t>
            </w:r>
          </w:p>
        </w:tc>
        <w:tc>
          <w:tcPr>
            <w:tcW w:w="2038" w:type="dxa"/>
            <w:gridSpan w:val="2"/>
            <w:noWrap w:val="0"/>
            <w:vAlign w:val="center"/>
          </w:tcPr>
          <w:p w14:paraId="62D25217">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14:paraId="2D58C39B">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14:paraId="31039A06">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64C1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2832BC8">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公车运行维护</w:t>
            </w:r>
          </w:p>
        </w:tc>
        <w:tc>
          <w:tcPr>
            <w:tcW w:w="2038" w:type="dxa"/>
            <w:gridSpan w:val="2"/>
            <w:noWrap w:val="0"/>
            <w:vAlign w:val="center"/>
          </w:tcPr>
          <w:p w14:paraId="78568DF8">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26.99</w:t>
            </w:r>
          </w:p>
        </w:tc>
        <w:tc>
          <w:tcPr>
            <w:tcW w:w="2240" w:type="dxa"/>
            <w:gridSpan w:val="2"/>
            <w:noWrap w:val="0"/>
            <w:vAlign w:val="center"/>
          </w:tcPr>
          <w:p w14:paraId="75223715">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32.5</w:t>
            </w:r>
          </w:p>
        </w:tc>
        <w:tc>
          <w:tcPr>
            <w:tcW w:w="1832" w:type="dxa"/>
            <w:gridSpan w:val="2"/>
            <w:noWrap w:val="0"/>
            <w:vAlign w:val="center"/>
          </w:tcPr>
          <w:p w14:paraId="737CC530">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16.34</w:t>
            </w:r>
          </w:p>
        </w:tc>
      </w:tr>
      <w:tr w14:paraId="135A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EAF32FD">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2、出国经费</w:t>
            </w:r>
          </w:p>
        </w:tc>
        <w:tc>
          <w:tcPr>
            <w:tcW w:w="2038" w:type="dxa"/>
            <w:gridSpan w:val="2"/>
            <w:noWrap w:val="0"/>
            <w:vAlign w:val="center"/>
          </w:tcPr>
          <w:p w14:paraId="669F7693">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14:paraId="6EDEA8BC">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14:paraId="2D3C7A81">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3B77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4829113">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3、公务接待</w:t>
            </w:r>
          </w:p>
        </w:tc>
        <w:tc>
          <w:tcPr>
            <w:tcW w:w="2038" w:type="dxa"/>
            <w:gridSpan w:val="2"/>
            <w:noWrap w:val="0"/>
            <w:vAlign w:val="center"/>
          </w:tcPr>
          <w:p w14:paraId="74BF8843">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5.02</w:t>
            </w:r>
          </w:p>
        </w:tc>
        <w:tc>
          <w:tcPr>
            <w:tcW w:w="2240" w:type="dxa"/>
            <w:gridSpan w:val="2"/>
            <w:noWrap w:val="0"/>
            <w:vAlign w:val="center"/>
          </w:tcPr>
          <w:p w14:paraId="78809F8B">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10.5</w:t>
            </w:r>
          </w:p>
        </w:tc>
        <w:tc>
          <w:tcPr>
            <w:tcW w:w="1832" w:type="dxa"/>
            <w:gridSpan w:val="2"/>
            <w:noWrap w:val="0"/>
            <w:vAlign w:val="center"/>
          </w:tcPr>
          <w:p w14:paraId="00C41FF2">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4.86</w:t>
            </w:r>
          </w:p>
        </w:tc>
      </w:tr>
      <w:tr w14:paraId="0547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4888E41">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项目支出：</w:t>
            </w:r>
          </w:p>
        </w:tc>
        <w:tc>
          <w:tcPr>
            <w:tcW w:w="2038" w:type="dxa"/>
            <w:gridSpan w:val="2"/>
            <w:noWrap w:val="0"/>
            <w:vAlign w:val="center"/>
          </w:tcPr>
          <w:p w14:paraId="0685D802">
            <w:pPr>
              <w:widowControl/>
              <w:jc w:val="center"/>
              <w:rPr>
                <w:rFonts w:hint="eastAsia" w:ascii="仿宋" w:hAnsi="仿宋" w:eastAsia="仿宋" w:cs="仿宋"/>
                <w:b w:val="0"/>
                <w:bCs w:val="0"/>
                <w:kern w:val="0"/>
                <w:sz w:val="20"/>
                <w:szCs w:val="20"/>
              </w:rPr>
            </w:pPr>
          </w:p>
        </w:tc>
        <w:tc>
          <w:tcPr>
            <w:tcW w:w="2240" w:type="dxa"/>
            <w:gridSpan w:val="2"/>
            <w:noWrap w:val="0"/>
            <w:vAlign w:val="center"/>
          </w:tcPr>
          <w:p w14:paraId="58B85CA8">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33</w:t>
            </w:r>
          </w:p>
        </w:tc>
        <w:tc>
          <w:tcPr>
            <w:tcW w:w="1832" w:type="dxa"/>
            <w:gridSpan w:val="2"/>
            <w:noWrap w:val="0"/>
            <w:vAlign w:val="center"/>
          </w:tcPr>
          <w:p w14:paraId="4A2FAF25">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33</w:t>
            </w:r>
          </w:p>
        </w:tc>
      </w:tr>
      <w:tr w14:paraId="6FB0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ACBA358">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1、业务工作经费</w:t>
            </w:r>
          </w:p>
        </w:tc>
        <w:tc>
          <w:tcPr>
            <w:tcW w:w="2038" w:type="dxa"/>
            <w:gridSpan w:val="2"/>
            <w:noWrap w:val="0"/>
            <w:vAlign w:val="center"/>
          </w:tcPr>
          <w:p w14:paraId="477E8AC8">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30</w:t>
            </w:r>
          </w:p>
        </w:tc>
        <w:tc>
          <w:tcPr>
            <w:tcW w:w="2240" w:type="dxa"/>
            <w:gridSpan w:val="2"/>
            <w:noWrap w:val="0"/>
            <w:vAlign w:val="center"/>
          </w:tcPr>
          <w:p w14:paraId="74A07FAE">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23.4</w:t>
            </w:r>
          </w:p>
        </w:tc>
        <w:tc>
          <w:tcPr>
            <w:tcW w:w="1832" w:type="dxa"/>
            <w:gridSpan w:val="2"/>
            <w:noWrap w:val="0"/>
            <w:vAlign w:val="center"/>
          </w:tcPr>
          <w:p w14:paraId="473FAE60">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23.4</w:t>
            </w:r>
          </w:p>
        </w:tc>
      </w:tr>
      <w:tr w14:paraId="1CC0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A091E69">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2、运行维护经费</w:t>
            </w:r>
          </w:p>
        </w:tc>
        <w:tc>
          <w:tcPr>
            <w:tcW w:w="2038" w:type="dxa"/>
            <w:gridSpan w:val="2"/>
            <w:noWrap w:val="0"/>
            <w:vAlign w:val="center"/>
          </w:tcPr>
          <w:p w14:paraId="79FD295A">
            <w:pPr>
              <w:widowControl/>
              <w:jc w:val="center"/>
              <w:rPr>
                <w:rFonts w:hint="eastAsia"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w:t>
            </w:r>
          </w:p>
        </w:tc>
        <w:tc>
          <w:tcPr>
            <w:tcW w:w="2240" w:type="dxa"/>
            <w:gridSpan w:val="2"/>
            <w:noWrap w:val="0"/>
            <w:vAlign w:val="center"/>
          </w:tcPr>
          <w:p w14:paraId="514D24D0">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9.6</w:t>
            </w:r>
          </w:p>
        </w:tc>
        <w:tc>
          <w:tcPr>
            <w:tcW w:w="1832" w:type="dxa"/>
            <w:gridSpan w:val="2"/>
            <w:noWrap w:val="0"/>
            <w:vAlign w:val="center"/>
          </w:tcPr>
          <w:p w14:paraId="7F45023C">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9.6</w:t>
            </w:r>
          </w:p>
        </w:tc>
      </w:tr>
      <w:tr w14:paraId="720C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705E18F6">
            <w:pPr>
              <w:widowControl/>
              <w:ind w:firstLine="400" w:firstLineChars="2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3、</w:t>
            </w:r>
            <w:r>
              <w:rPr>
                <w:rFonts w:hint="eastAsia" w:ascii="仿宋" w:hAnsi="仿宋" w:eastAsia="仿宋" w:cs="仿宋"/>
                <w:b w:val="0"/>
                <w:bCs w:val="0"/>
                <w:kern w:val="0"/>
                <w:sz w:val="20"/>
                <w:szCs w:val="20"/>
                <w:lang w:val="en-US" w:eastAsia="zh-CN"/>
              </w:rPr>
              <w:t>市级</w:t>
            </w:r>
            <w:r>
              <w:rPr>
                <w:rFonts w:hint="eastAsia" w:ascii="仿宋" w:hAnsi="仿宋" w:eastAsia="仿宋" w:cs="仿宋"/>
                <w:b w:val="0"/>
                <w:bCs w:val="0"/>
                <w:kern w:val="0"/>
                <w:sz w:val="20"/>
                <w:szCs w:val="20"/>
              </w:rPr>
              <w:t>专项资金</w:t>
            </w:r>
          </w:p>
          <w:p w14:paraId="5315A17D">
            <w:pPr>
              <w:widowControl/>
              <w:ind w:firstLine="600" w:firstLineChars="3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（一个专项一行）</w:t>
            </w:r>
          </w:p>
        </w:tc>
        <w:tc>
          <w:tcPr>
            <w:tcW w:w="2038" w:type="dxa"/>
            <w:gridSpan w:val="2"/>
            <w:noWrap w:val="0"/>
            <w:vAlign w:val="center"/>
          </w:tcPr>
          <w:p w14:paraId="544C7C6B">
            <w:pPr>
              <w:widowControl/>
              <w:jc w:val="center"/>
              <w:rPr>
                <w:rFonts w:hint="eastAsia" w:ascii="仿宋" w:hAnsi="仿宋" w:eastAsia="仿宋" w:cs="仿宋"/>
                <w:b w:val="0"/>
                <w:bCs w:val="0"/>
                <w:kern w:val="0"/>
                <w:sz w:val="20"/>
                <w:szCs w:val="20"/>
              </w:rPr>
            </w:pPr>
          </w:p>
        </w:tc>
        <w:tc>
          <w:tcPr>
            <w:tcW w:w="2240" w:type="dxa"/>
            <w:gridSpan w:val="2"/>
            <w:noWrap w:val="0"/>
            <w:vAlign w:val="center"/>
          </w:tcPr>
          <w:p w14:paraId="783F5E0B">
            <w:pPr>
              <w:widowControl/>
              <w:jc w:val="center"/>
              <w:rPr>
                <w:rFonts w:hint="eastAsia" w:ascii="仿宋" w:hAnsi="仿宋" w:eastAsia="仿宋" w:cs="仿宋"/>
                <w:b w:val="0"/>
                <w:bCs w:val="0"/>
                <w:kern w:val="0"/>
                <w:sz w:val="20"/>
                <w:szCs w:val="20"/>
              </w:rPr>
            </w:pPr>
          </w:p>
        </w:tc>
        <w:tc>
          <w:tcPr>
            <w:tcW w:w="1832" w:type="dxa"/>
            <w:gridSpan w:val="2"/>
            <w:noWrap w:val="0"/>
            <w:vAlign w:val="center"/>
          </w:tcPr>
          <w:p w14:paraId="07FE2323">
            <w:pPr>
              <w:widowControl/>
              <w:jc w:val="center"/>
              <w:rPr>
                <w:rFonts w:hint="eastAsia" w:ascii="仿宋" w:hAnsi="仿宋" w:eastAsia="仿宋" w:cs="仿宋"/>
                <w:b w:val="0"/>
                <w:bCs w:val="0"/>
                <w:kern w:val="0"/>
                <w:sz w:val="20"/>
                <w:szCs w:val="20"/>
              </w:rPr>
            </w:pPr>
          </w:p>
        </w:tc>
      </w:tr>
      <w:tr w14:paraId="37D5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028CFAA">
            <w:pPr>
              <w:widowControl/>
              <w:ind w:firstLine="400" w:firstLineChars="2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4、其他事业类发展资金</w:t>
            </w:r>
          </w:p>
        </w:tc>
        <w:tc>
          <w:tcPr>
            <w:tcW w:w="2038" w:type="dxa"/>
            <w:gridSpan w:val="2"/>
            <w:noWrap w:val="0"/>
            <w:vAlign w:val="center"/>
          </w:tcPr>
          <w:p w14:paraId="4A87316F">
            <w:pPr>
              <w:widowControl/>
              <w:jc w:val="center"/>
              <w:rPr>
                <w:rFonts w:hint="eastAsia" w:ascii="仿宋" w:hAnsi="仿宋" w:eastAsia="仿宋" w:cs="仿宋"/>
                <w:b w:val="0"/>
                <w:bCs w:val="0"/>
                <w:kern w:val="0"/>
                <w:sz w:val="20"/>
                <w:szCs w:val="20"/>
              </w:rPr>
            </w:pPr>
          </w:p>
        </w:tc>
        <w:tc>
          <w:tcPr>
            <w:tcW w:w="2240" w:type="dxa"/>
            <w:gridSpan w:val="2"/>
            <w:noWrap w:val="0"/>
            <w:vAlign w:val="center"/>
          </w:tcPr>
          <w:p w14:paraId="5DCA013C">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14:paraId="0139DD67">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0231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354" w:type="dxa"/>
            <w:noWrap w:val="0"/>
            <w:vAlign w:val="center"/>
          </w:tcPr>
          <w:p w14:paraId="1DD54801">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038" w:type="dxa"/>
            <w:gridSpan w:val="2"/>
            <w:noWrap w:val="0"/>
            <w:vAlign w:val="center"/>
          </w:tcPr>
          <w:p w14:paraId="69F88C68">
            <w:pPr>
              <w:widowControl/>
              <w:jc w:val="center"/>
              <w:rPr>
                <w:rFonts w:hint="eastAsia" w:ascii="仿宋" w:hAnsi="仿宋" w:eastAsia="仿宋" w:cs="仿宋"/>
                <w:b w:val="0"/>
                <w:bCs w:val="0"/>
                <w:kern w:val="0"/>
                <w:sz w:val="20"/>
                <w:szCs w:val="20"/>
              </w:rPr>
            </w:pPr>
          </w:p>
        </w:tc>
        <w:tc>
          <w:tcPr>
            <w:tcW w:w="2240" w:type="dxa"/>
            <w:gridSpan w:val="2"/>
            <w:noWrap w:val="0"/>
            <w:vAlign w:val="center"/>
          </w:tcPr>
          <w:p w14:paraId="44A92D21">
            <w:pPr>
              <w:widowControl/>
              <w:jc w:val="center"/>
              <w:rPr>
                <w:rFonts w:hint="eastAsia" w:ascii="仿宋" w:hAnsi="仿宋" w:eastAsia="仿宋" w:cs="仿宋"/>
                <w:b w:val="0"/>
                <w:bCs w:val="0"/>
                <w:kern w:val="0"/>
                <w:sz w:val="20"/>
                <w:szCs w:val="20"/>
              </w:rPr>
            </w:pPr>
          </w:p>
        </w:tc>
        <w:tc>
          <w:tcPr>
            <w:tcW w:w="1832" w:type="dxa"/>
            <w:gridSpan w:val="2"/>
            <w:noWrap w:val="0"/>
            <w:vAlign w:val="center"/>
          </w:tcPr>
          <w:p w14:paraId="091D6C39">
            <w:pPr>
              <w:widowControl/>
              <w:jc w:val="center"/>
              <w:rPr>
                <w:rFonts w:hint="eastAsia" w:ascii="仿宋" w:hAnsi="仿宋" w:eastAsia="仿宋" w:cs="仿宋"/>
                <w:b w:val="0"/>
                <w:bCs w:val="0"/>
                <w:kern w:val="0"/>
                <w:sz w:val="20"/>
                <w:szCs w:val="20"/>
              </w:rPr>
            </w:pPr>
          </w:p>
        </w:tc>
      </w:tr>
      <w:tr w14:paraId="5FED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FFD26E1">
            <w:pPr>
              <w:widowControl/>
              <w:jc w:val="left"/>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公用经费</w:t>
            </w:r>
          </w:p>
        </w:tc>
        <w:tc>
          <w:tcPr>
            <w:tcW w:w="2038" w:type="dxa"/>
            <w:gridSpan w:val="2"/>
            <w:noWrap w:val="0"/>
            <w:vAlign w:val="center"/>
          </w:tcPr>
          <w:p w14:paraId="22600C29">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275.56</w:t>
            </w:r>
          </w:p>
        </w:tc>
        <w:tc>
          <w:tcPr>
            <w:tcW w:w="2240" w:type="dxa"/>
            <w:gridSpan w:val="2"/>
            <w:noWrap w:val="0"/>
            <w:vAlign w:val="center"/>
          </w:tcPr>
          <w:p w14:paraId="125EF297">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196</w:t>
            </w:r>
          </w:p>
        </w:tc>
        <w:tc>
          <w:tcPr>
            <w:tcW w:w="1832" w:type="dxa"/>
            <w:gridSpan w:val="2"/>
            <w:noWrap w:val="0"/>
            <w:vAlign w:val="center"/>
          </w:tcPr>
          <w:p w14:paraId="68DDA4F7">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170.97</w:t>
            </w:r>
          </w:p>
        </w:tc>
      </w:tr>
      <w:tr w14:paraId="4AED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0261B4B">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其中：办公费</w:t>
            </w:r>
          </w:p>
        </w:tc>
        <w:tc>
          <w:tcPr>
            <w:tcW w:w="2038" w:type="dxa"/>
            <w:gridSpan w:val="2"/>
            <w:noWrap w:val="0"/>
            <w:vAlign w:val="center"/>
          </w:tcPr>
          <w:p w14:paraId="4CA678E0">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19.63</w:t>
            </w:r>
          </w:p>
        </w:tc>
        <w:tc>
          <w:tcPr>
            <w:tcW w:w="2240" w:type="dxa"/>
            <w:gridSpan w:val="2"/>
            <w:noWrap w:val="0"/>
            <w:vAlign w:val="center"/>
          </w:tcPr>
          <w:p w14:paraId="6BAA8F4A">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10</w:t>
            </w:r>
          </w:p>
        </w:tc>
        <w:tc>
          <w:tcPr>
            <w:tcW w:w="1832" w:type="dxa"/>
            <w:gridSpan w:val="2"/>
            <w:noWrap w:val="0"/>
            <w:vAlign w:val="center"/>
          </w:tcPr>
          <w:p w14:paraId="6BDF1557">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4.57</w:t>
            </w:r>
          </w:p>
        </w:tc>
      </w:tr>
      <w:tr w14:paraId="19B9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7C776F0">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水费、电费、差旅费</w:t>
            </w:r>
          </w:p>
        </w:tc>
        <w:tc>
          <w:tcPr>
            <w:tcW w:w="2038" w:type="dxa"/>
            <w:gridSpan w:val="2"/>
            <w:noWrap w:val="0"/>
            <w:vAlign w:val="center"/>
          </w:tcPr>
          <w:p w14:paraId="2202EDA3">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38.18</w:t>
            </w:r>
          </w:p>
        </w:tc>
        <w:tc>
          <w:tcPr>
            <w:tcW w:w="2240" w:type="dxa"/>
            <w:gridSpan w:val="2"/>
            <w:noWrap w:val="0"/>
            <w:vAlign w:val="center"/>
          </w:tcPr>
          <w:p w14:paraId="3758AD05">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30</w:t>
            </w:r>
          </w:p>
        </w:tc>
        <w:tc>
          <w:tcPr>
            <w:tcW w:w="1832" w:type="dxa"/>
            <w:gridSpan w:val="2"/>
            <w:noWrap w:val="0"/>
            <w:vAlign w:val="center"/>
          </w:tcPr>
          <w:p w14:paraId="5ED326DD">
            <w:pPr>
              <w:widowControl/>
              <w:jc w:val="center"/>
              <w:rPr>
                <w:rFonts w:hint="default" w:ascii="仿宋" w:hAnsi="仿宋" w:eastAsia="仿宋" w:cs="仿宋"/>
                <w:b w:val="0"/>
                <w:bCs w:val="0"/>
                <w:color w:val="FF0000"/>
                <w:kern w:val="0"/>
                <w:sz w:val="20"/>
                <w:szCs w:val="20"/>
                <w:lang w:val="en-US" w:eastAsia="zh-CN"/>
              </w:rPr>
            </w:pPr>
            <w:r>
              <w:rPr>
                <w:rFonts w:hint="eastAsia" w:ascii="仿宋" w:hAnsi="仿宋" w:eastAsia="仿宋" w:cs="仿宋"/>
                <w:b w:val="0"/>
                <w:bCs w:val="0"/>
                <w:color w:val="FF0000"/>
                <w:kern w:val="0"/>
                <w:sz w:val="20"/>
                <w:szCs w:val="20"/>
                <w:lang w:val="en-US" w:eastAsia="zh-CN"/>
              </w:rPr>
              <w:t>23.47</w:t>
            </w:r>
          </w:p>
        </w:tc>
      </w:tr>
      <w:tr w14:paraId="3A0C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354" w:type="dxa"/>
            <w:noWrap w:val="0"/>
            <w:vAlign w:val="center"/>
          </w:tcPr>
          <w:p w14:paraId="68300D34">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会议费、培训费</w:t>
            </w:r>
          </w:p>
        </w:tc>
        <w:tc>
          <w:tcPr>
            <w:tcW w:w="2038" w:type="dxa"/>
            <w:gridSpan w:val="2"/>
            <w:noWrap w:val="0"/>
            <w:vAlign w:val="center"/>
          </w:tcPr>
          <w:p w14:paraId="57BFF5AD">
            <w:pPr>
              <w:widowControl/>
              <w:jc w:val="center"/>
              <w:rPr>
                <w:rFonts w:hint="eastAsia" w:ascii="仿宋" w:hAnsi="仿宋" w:eastAsia="仿宋" w:cs="仿宋"/>
                <w:b w:val="0"/>
                <w:bCs w:val="0"/>
                <w:color w:val="FF0000"/>
                <w:kern w:val="0"/>
                <w:sz w:val="20"/>
                <w:szCs w:val="20"/>
              </w:rPr>
            </w:pPr>
          </w:p>
        </w:tc>
        <w:tc>
          <w:tcPr>
            <w:tcW w:w="2240" w:type="dxa"/>
            <w:gridSpan w:val="2"/>
            <w:noWrap w:val="0"/>
            <w:vAlign w:val="center"/>
          </w:tcPr>
          <w:p w14:paraId="059975FF">
            <w:pPr>
              <w:widowControl/>
              <w:jc w:val="center"/>
              <w:rPr>
                <w:rFonts w:hint="default" w:ascii="仿宋" w:hAnsi="仿宋" w:eastAsia="仿宋" w:cs="仿宋"/>
                <w:b w:val="0"/>
                <w:bCs w:val="0"/>
                <w:color w:val="FF0000"/>
                <w:kern w:val="0"/>
                <w:sz w:val="20"/>
                <w:szCs w:val="20"/>
                <w:lang w:val="en-US" w:eastAsia="zh-CN"/>
              </w:rPr>
            </w:pPr>
          </w:p>
        </w:tc>
        <w:tc>
          <w:tcPr>
            <w:tcW w:w="1832" w:type="dxa"/>
            <w:gridSpan w:val="2"/>
            <w:noWrap w:val="0"/>
            <w:vAlign w:val="center"/>
          </w:tcPr>
          <w:p w14:paraId="0071896C">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r>
      <w:tr w14:paraId="5768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E8199CC">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政府采购金额</w:t>
            </w:r>
          </w:p>
        </w:tc>
        <w:tc>
          <w:tcPr>
            <w:tcW w:w="2038" w:type="dxa"/>
            <w:gridSpan w:val="2"/>
            <w:noWrap w:val="0"/>
            <w:vAlign w:val="center"/>
          </w:tcPr>
          <w:p w14:paraId="6E0839A6">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240" w:type="dxa"/>
            <w:gridSpan w:val="2"/>
            <w:noWrap w:val="0"/>
            <w:vAlign w:val="center"/>
          </w:tcPr>
          <w:p w14:paraId="3D8EE863">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14:paraId="3F1E6C36">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0B50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97BADA6">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部门基本支出预算调整 </w:t>
            </w:r>
          </w:p>
        </w:tc>
        <w:tc>
          <w:tcPr>
            <w:tcW w:w="2038" w:type="dxa"/>
            <w:gridSpan w:val="2"/>
            <w:noWrap w:val="0"/>
            <w:vAlign w:val="center"/>
          </w:tcPr>
          <w:p w14:paraId="6F7AB3DF">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240" w:type="dxa"/>
            <w:gridSpan w:val="2"/>
            <w:noWrap w:val="0"/>
            <w:vAlign w:val="center"/>
          </w:tcPr>
          <w:p w14:paraId="3AF494C8">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14:paraId="7EAB9A56">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1A623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14:paraId="0CAA0CD6">
            <w:pPr>
              <w:widowControl/>
              <w:jc w:val="center"/>
              <w:rPr>
                <w:rFonts w:hint="eastAsia" w:ascii="仿宋" w:hAnsi="仿宋" w:eastAsia="仿宋" w:cs="仿宋"/>
                <w:b w:val="0"/>
                <w:bCs w:val="0"/>
                <w:kern w:val="0"/>
                <w:sz w:val="20"/>
                <w:szCs w:val="20"/>
                <w:lang w:eastAsia="zh-CN"/>
              </w:rPr>
            </w:pPr>
            <w:r>
              <w:rPr>
                <w:rFonts w:hint="eastAsia" w:ascii="仿宋" w:hAnsi="仿宋" w:eastAsia="仿宋" w:cs="仿宋"/>
                <w:b w:val="0"/>
                <w:bCs w:val="0"/>
                <w:kern w:val="0"/>
                <w:sz w:val="20"/>
                <w:szCs w:val="20"/>
              </w:rPr>
              <w:t>楼堂馆所控制情况</w:t>
            </w:r>
          </w:p>
          <w:p w14:paraId="4904B951">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22</w:t>
            </w:r>
            <w:r>
              <w:rPr>
                <w:rFonts w:hint="eastAsia" w:ascii="仿宋" w:hAnsi="仿宋" w:eastAsia="仿宋" w:cs="仿宋"/>
                <w:b w:val="0"/>
                <w:bCs w:val="0"/>
                <w:kern w:val="0"/>
                <w:sz w:val="20"/>
                <w:szCs w:val="20"/>
              </w:rPr>
              <w:t>年完工项目）</w:t>
            </w:r>
          </w:p>
        </w:tc>
        <w:tc>
          <w:tcPr>
            <w:tcW w:w="1189" w:type="dxa"/>
            <w:noWrap w:val="0"/>
            <w:vAlign w:val="center"/>
          </w:tcPr>
          <w:p w14:paraId="66910051">
            <w:pPr>
              <w:widowControl/>
              <w:spacing w:line="240" w:lineRule="exact"/>
              <w:jc w:val="center"/>
              <w:rPr>
                <w:rFonts w:hint="eastAsia" w:ascii="仿宋" w:hAnsi="仿宋" w:eastAsia="仿宋" w:cs="仿宋"/>
                <w:b w:val="0"/>
                <w:bCs w:val="0"/>
                <w:kern w:val="0"/>
                <w:sz w:val="20"/>
                <w:szCs w:val="20"/>
                <w:lang w:eastAsia="zh-CN"/>
              </w:rPr>
            </w:pPr>
            <w:r>
              <w:rPr>
                <w:rFonts w:hint="eastAsia" w:ascii="仿宋" w:hAnsi="仿宋" w:eastAsia="仿宋" w:cs="仿宋"/>
                <w:b w:val="0"/>
                <w:bCs w:val="0"/>
                <w:kern w:val="0"/>
                <w:sz w:val="20"/>
                <w:szCs w:val="20"/>
              </w:rPr>
              <w:t>批复规模</w:t>
            </w:r>
          </w:p>
          <w:p w14:paraId="4E8770CB">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849" w:type="dxa"/>
            <w:noWrap w:val="0"/>
            <w:vAlign w:val="center"/>
          </w:tcPr>
          <w:p w14:paraId="6EC5F493">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实际规模（㎡）</w:t>
            </w:r>
          </w:p>
        </w:tc>
        <w:tc>
          <w:tcPr>
            <w:tcW w:w="1129" w:type="dxa"/>
            <w:noWrap w:val="0"/>
            <w:vAlign w:val="center"/>
          </w:tcPr>
          <w:p w14:paraId="59C97CAE">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规模控制率</w:t>
            </w:r>
          </w:p>
        </w:tc>
        <w:tc>
          <w:tcPr>
            <w:tcW w:w="1111" w:type="dxa"/>
            <w:noWrap w:val="0"/>
            <w:vAlign w:val="center"/>
          </w:tcPr>
          <w:p w14:paraId="3FAA7A3F">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预算投资（万元）</w:t>
            </w:r>
          </w:p>
        </w:tc>
        <w:tc>
          <w:tcPr>
            <w:tcW w:w="969" w:type="dxa"/>
            <w:noWrap w:val="0"/>
            <w:vAlign w:val="center"/>
          </w:tcPr>
          <w:p w14:paraId="0ED127A5">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实际投资（万元）</w:t>
            </w:r>
          </w:p>
        </w:tc>
        <w:tc>
          <w:tcPr>
            <w:tcW w:w="863" w:type="dxa"/>
            <w:noWrap w:val="0"/>
            <w:vAlign w:val="center"/>
          </w:tcPr>
          <w:p w14:paraId="4734622C">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投资概算控制率</w:t>
            </w:r>
          </w:p>
        </w:tc>
      </w:tr>
      <w:tr w14:paraId="286D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354" w:type="dxa"/>
            <w:vMerge w:val="continue"/>
            <w:noWrap w:val="0"/>
            <w:vAlign w:val="center"/>
          </w:tcPr>
          <w:p w14:paraId="463C92E7">
            <w:pPr>
              <w:widowControl/>
              <w:jc w:val="left"/>
              <w:rPr>
                <w:rFonts w:hint="eastAsia" w:ascii="仿宋" w:hAnsi="仿宋" w:eastAsia="仿宋" w:cs="仿宋"/>
                <w:b w:val="0"/>
                <w:bCs w:val="0"/>
                <w:kern w:val="0"/>
                <w:sz w:val="20"/>
                <w:szCs w:val="20"/>
              </w:rPr>
            </w:pPr>
          </w:p>
        </w:tc>
        <w:tc>
          <w:tcPr>
            <w:tcW w:w="1189" w:type="dxa"/>
            <w:noWrap w:val="0"/>
            <w:vAlign w:val="center"/>
          </w:tcPr>
          <w:p w14:paraId="2DC8251B">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849" w:type="dxa"/>
            <w:noWrap w:val="0"/>
            <w:vAlign w:val="center"/>
          </w:tcPr>
          <w:p w14:paraId="0E8927ED">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129" w:type="dxa"/>
            <w:noWrap w:val="0"/>
            <w:vAlign w:val="center"/>
          </w:tcPr>
          <w:p w14:paraId="190F3EC4">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111" w:type="dxa"/>
            <w:noWrap w:val="0"/>
            <w:vAlign w:val="center"/>
          </w:tcPr>
          <w:p w14:paraId="76AFF411">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969" w:type="dxa"/>
            <w:noWrap w:val="0"/>
            <w:vAlign w:val="center"/>
          </w:tcPr>
          <w:p w14:paraId="69B43697">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863" w:type="dxa"/>
            <w:noWrap w:val="0"/>
            <w:vAlign w:val="center"/>
          </w:tcPr>
          <w:p w14:paraId="72443F56">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14:paraId="6F4F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354" w:type="dxa"/>
            <w:noWrap w:val="0"/>
            <w:vAlign w:val="center"/>
          </w:tcPr>
          <w:p w14:paraId="3745E43F">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厉行节约保障措施</w:t>
            </w:r>
          </w:p>
        </w:tc>
        <w:tc>
          <w:tcPr>
            <w:tcW w:w="6110" w:type="dxa"/>
            <w:gridSpan w:val="6"/>
            <w:noWrap w:val="0"/>
            <w:vAlign w:val="center"/>
          </w:tcPr>
          <w:p w14:paraId="00963071">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bl>
    <w:p w14:paraId="4CFB7CF5">
      <w:pPr>
        <w:pStyle w:val="6"/>
        <w:keepNext/>
        <w:keepLines/>
        <w:pageBreakBefore w:val="0"/>
        <w:widowControl w:val="0"/>
        <w:kinsoku/>
        <w:wordWrap/>
        <w:overflowPunct/>
        <w:topLinePunct w:val="0"/>
        <w:autoSpaceDE/>
        <w:autoSpaceDN/>
        <w:bidi w:val="0"/>
        <w:adjustRightInd/>
        <w:snapToGrid/>
        <w:spacing w:line="280" w:lineRule="exact"/>
        <w:textAlignment w:val="auto"/>
        <w:rPr>
          <w:rFonts w:hint="eastAsia"/>
          <w:lang w:val="en-US" w:eastAsia="zh-CN"/>
        </w:rPr>
      </w:pPr>
      <w:r>
        <w:rPr>
          <w:rFonts w:eastAsia="仿宋_GB2312"/>
          <w:kern w:val="0"/>
          <w:sz w:val="22"/>
        </w:rPr>
        <w:t>说明：“项目支出”需要填报基本支出以外的所有项目支出情况，“公用经费”填报基本支出中的一般商品和服务支出。</w:t>
      </w:r>
    </w:p>
    <w:p w14:paraId="174D5DCD">
      <w:pPr>
        <w:widowControl w:val="0"/>
        <w:kinsoku/>
        <w:autoSpaceDE/>
        <w:autoSpaceDN/>
        <w:adjustRightInd/>
        <w:snapToGrid/>
        <w:spacing w:line="600" w:lineRule="exact"/>
        <w:jc w:val="both"/>
        <w:textAlignment w:val="auto"/>
        <w:rPr>
          <w:rFonts w:hint="default"/>
          <w:lang w:val="en-US"/>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杨小玲            </w:t>
      </w:r>
      <w:r>
        <w:rPr>
          <w:rFonts w:hint="default"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填报日期：</w:t>
      </w:r>
      <w:r>
        <w:rPr>
          <w:rFonts w:hint="eastAsia" w:ascii="Times New Roman" w:hAnsi="Times New Roman" w:eastAsia="仿宋_GB2312" w:cs="Times New Roman"/>
          <w:snapToGrid/>
          <w:color w:val="000000"/>
          <w:kern w:val="0"/>
          <w:sz w:val="24"/>
          <w:szCs w:val="24"/>
          <w:lang w:val="en-US" w:eastAsia="zh-CN" w:bidi="ar-SA"/>
        </w:rPr>
        <w:t xml:space="preserve">8月31日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8877229</w:t>
      </w:r>
    </w:p>
    <w:p w14:paraId="5771F785">
      <w:pPr>
        <w:widowControl w:val="0"/>
        <w:kinsoku/>
        <w:autoSpaceDE/>
        <w:autoSpaceDN/>
        <w:adjustRightInd/>
        <w:snapToGrid/>
        <w:spacing w:line="600" w:lineRule="exact"/>
        <w:jc w:val="both"/>
        <w:textAlignment w:val="auto"/>
        <w:rPr>
          <w:rFonts w:hint="default" w:ascii="方正小标宋_GBK" w:hAnsi="方正小标宋_GBK" w:eastAsia="方正小标宋_GBK" w:cs="方正小标宋_GBK"/>
          <w:i w:val="0"/>
          <w:iCs w:val="0"/>
          <w:caps w:val="0"/>
          <w:color w:val="000000"/>
          <w:spacing w:val="0"/>
          <w:sz w:val="32"/>
          <w:szCs w:val="32"/>
          <w:shd w:val="clear" w:color="auto" w:fill="FFFFFF"/>
          <w:lang w:val="en-US" w:eastAsia="zh-CN"/>
        </w:rPr>
      </w:pPr>
      <w:r>
        <w:rPr>
          <w:rFonts w:hint="eastAsia" w:ascii="Times New Roman" w:hAnsi="Times New Roman" w:eastAsia="仿宋_GB2312" w:cs="Times New Roman"/>
          <w:snapToGrid/>
          <w:color w:val="000000"/>
          <w:kern w:val="0"/>
          <w:sz w:val="24"/>
          <w:szCs w:val="24"/>
          <w:lang w:val="en-US" w:eastAsia="zh-CN" w:bidi="ar-SA"/>
        </w:rPr>
        <w:t xml:space="preserve"> </w:t>
      </w:r>
    </w:p>
    <w:p w14:paraId="73C4DD60">
      <w:pPr>
        <w:jc w:val="center"/>
        <w:rPr>
          <w:rFonts w:hint="eastAsia"/>
          <w:lang w:val="en-US" w:eastAsia="zh-CN"/>
        </w:rPr>
      </w:pPr>
      <w:r>
        <w:rPr>
          <w:rFonts w:hint="eastAsia" w:ascii="方正小标宋简体" w:hAnsi="方正小标宋简体" w:eastAsia="方正小标宋简体" w:cs="方正小标宋简体"/>
          <w:sz w:val="36"/>
          <w:szCs w:val="36"/>
          <w:lang w:val="en-US" w:eastAsia="zh-CN"/>
        </w:rPr>
        <w:t>整体支出绩效自评表</w:t>
      </w:r>
    </w:p>
    <w:tbl>
      <w:tblPr>
        <w:tblStyle w:val="4"/>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1176"/>
        <w:gridCol w:w="1128"/>
        <w:gridCol w:w="998"/>
        <w:gridCol w:w="95"/>
        <w:gridCol w:w="1200"/>
        <w:gridCol w:w="1134"/>
        <w:gridCol w:w="709"/>
        <w:gridCol w:w="460"/>
        <w:gridCol w:w="1193"/>
      </w:tblGrid>
      <w:tr w14:paraId="581F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69" w:type="dxa"/>
            <w:noWrap w:val="0"/>
            <w:vAlign w:val="center"/>
          </w:tcPr>
          <w:p w14:paraId="7F0635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w:t>
            </w:r>
            <w:r>
              <w:rPr>
                <w:rFonts w:hint="eastAsia" w:ascii="仿宋" w:hAnsi="仿宋" w:eastAsia="仿宋" w:cs="仿宋"/>
                <w:color w:val="000000"/>
                <w:kern w:val="0"/>
                <w:sz w:val="20"/>
                <w:szCs w:val="20"/>
                <w:lang w:val="en-US" w:eastAsia="zh-CN"/>
              </w:rPr>
              <w:t>单位</w:t>
            </w:r>
            <w:r>
              <w:rPr>
                <w:rFonts w:hint="eastAsia" w:ascii="仿宋" w:hAnsi="仿宋" w:eastAsia="仿宋" w:cs="仿宋"/>
                <w:color w:val="000000"/>
                <w:kern w:val="0"/>
                <w:sz w:val="20"/>
                <w:szCs w:val="20"/>
              </w:rPr>
              <w:t>名称</w:t>
            </w:r>
          </w:p>
        </w:tc>
        <w:tc>
          <w:tcPr>
            <w:tcW w:w="8093" w:type="dxa"/>
            <w:gridSpan w:val="9"/>
            <w:noWrap w:val="0"/>
            <w:vAlign w:val="center"/>
          </w:tcPr>
          <w:p w14:paraId="7EA534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会同县人民政府办公室</w:t>
            </w:r>
          </w:p>
        </w:tc>
      </w:tr>
      <w:tr w14:paraId="7DDF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69" w:type="dxa"/>
            <w:vMerge w:val="restart"/>
            <w:noWrap w:val="0"/>
            <w:vAlign w:val="center"/>
          </w:tcPr>
          <w:p w14:paraId="721E4D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年度预</w:t>
            </w:r>
          </w:p>
          <w:p w14:paraId="77FD54C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算申请</w:t>
            </w:r>
          </w:p>
          <w:p w14:paraId="65A8A0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（万元）</w:t>
            </w:r>
          </w:p>
        </w:tc>
        <w:tc>
          <w:tcPr>
            <w:tcW w:w="2304" w:type="dxa"/>
            <w:gridSpan w:val="2"/>
            <w:noWrap w:val="0"/>
            <w:vAlign w:val="center"/>
          </w:tcPr>
          <w:p w14:paraId="4B335F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c>
          <w:tcPr>
            <w:tcW w:w="998" w:type="dxa"/>
            <w:noWrap w:val="0"/>
            <w:vAlign w:val="center"/>
          </w:tcPr>
          <w:p w14:paraId="3713AF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年初</w:t>
            </w:r>
          </w:p>
          <w:p w14:paraId="3FC109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预算数</w:t>
            </w:r>
          </w:p>
        </w:tc>
        <w:tc>
          <w:tcPr>
            <w:tcW w:w="1295" w:type="dxa"/>
            <w:gridSpan w:val="2"/>
            <w:noWrap w:val="0"/>
            <w:vAlign w:val="center"/>
          </w:tcPr>
          <w:p w14:paraId="5BD1DA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全年预算数</w:t>
            </w:r>
          </w:p>
        </w:tc>
        <w:tc>
          <w:tcPr>
            <w:tcW w:w="1134" w:type="dxa"/>
            <w:noWrap w:val="0"/>
            <w:vAlign w:val="center"/>
          </w:tcPr>
          <w:p w14:paraId="72DE10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423B40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09" w:type="dxa"/>
            <w:noWrap w:val="0"/>
            <w:vAlign w:val="center"/>
          </w:tcPr>
          <w:p w14:paraId="088C132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460" w:type="dxa"/>
            <w:noWrap w:val="0"/>
            <w:vAlign w:val="center"/>
          </w:tcPr>
          <w:p w14:paraId="69AECC6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193" w:type="dxa"/>
            <w:noWrap w:val="0"/>
            <w:vAlign w:val="center"/>
          </w:tcPr>
          <w:p w14:paraId="0183FC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17CB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69FB072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2304" w:type="dxa"/>
            <w:gridSpan w:val="2"/>
            <w:noWrap w:val="0"/>
            <w:vAlign w:val="center"/>
          </w:tcPr>
          <w:p w14:paraId="19959DC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color w:val="000000"/>
                <w:kern w:val="0"/>
                <w:sz w:val="20"/>
                <w:szCs w:val="20"/>
              </w:rPr>
              <w:t>年度资金总额</w:t>
            </w:r>
          </w:p>
        </w:tc>
        <w:tc>
          <w:tcPr>
            <w:tcW w:w="998" w:type="dxa"/>
            <w:noWrap w:val="0"/>
            <w:vAlign w:val="center"/>
          </w:tcPr>
          <w:p w14:paraId="74CA08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923.98</w:t>
            </w:r>
          </w:p>
        </w:tc>
        <w:tc>
          <w:tcPr>
            <w:tcW w:w="1295" w:type="dxa"/>
            <w:gridSpan w:val="2"/>
            <w:noWrap w:val="0"/>
            <w:vAlign w:val="center"/>
          </w:tcPr>
          <w:p w14:paraId="2CCE70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c>
          <w:tcPr>
            <w:tcW w:w="1134" w:type="dxa"/>
            <w:noWrap w:val="0"/>
            <w:vAlign w:val="center"/>
          </w:tcPr>
          <w:p w14:paraId="7E141B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c>
          <w:tcPr>
            <w:tcW w:w="709" w:type="dxa"/>
            <w:noWrap w:val="0"/>
            <w:vAlign w:val="center"/>
          </w:tcPr>
          <w:p w14:paraId="40C42D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10</w:t>
            </w:r>
          </w:p>
        </w:tc>
        <w:tc>
          <w:tcPr>
            <w:tcW w:w="460" w:type="dxa"/>
            <w:noWrap w:val="0"/>
            <w:vAlign w:val="center"/>
          </w:tcPr>
          <w:p w14:paraId="16AB4F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c>
          <w:tcPr>
            <w:tcW w:w="1193" w:type="dxa"/>
            <w:noWrap w:val="0"/>
            <w:vAlign w:val="center"/>
          </w:tcPr>
          <w:p w14:paraId="2A48C2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r>
      <w:tr w14:paraId="7F90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2918958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579F70B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按收入性质分：</w:t>
            </w:r>
          </w:p>
        </w:tc>
        <w:tc>
          <w:tcPr>
            <w:tcW w:w="3496" w:type="dxa"/>
            <w:gridSpan w:val="4"/>
            <w:noWrap w:val="0"/>
            <w:vAlign w:val="center"/>
          </w:tcPr>
          <w:p w14:paraId="6D7300F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按支出性质分：</w:t>
            </w:r>
          </w:p>
        </w:tc>
      </w:tr>
      <w:tr w14:paraId="142C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7468D1E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0605874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xml:space="preserve">  其中：  一般公共预算：</w:t>
            </w:r>
            <w:r>
              <w:rPr>
                <w:rFonts w:hint="eastAsia" w:ascii="仿宋" w:hAnsi="仿宋" w:eastAsia="仿宋" w:cs="仿宋"/>
                <w:color w:val="000000"/>
                <w:kern w:val="0"/>
                <w:sz w:val="20"/>
                <w:szCs w:val="20"/>
                <w:lang w:val="en-US" w:eastAsia="zh-CN"/>
              </w:rPr>
              <w:t>923.98</w:t>
            </w:r>
          </w:p>
        </w:tc>
        <w:tc>
          <w:tcPr>
            <w:tcW w:w="3496" w:type="dxa"/>
            <w:gridSpan w:val="4"/>
            <w:noWrap w:val="0"/>
            <w:vAlign w:val="center"/>
          </w:tcPr>
          <w:p w14:paraId="4DB36A7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其中：基本支出：</w:t>
            </w:r>
            <w:r>
              <w:rPr>
                <w:rFonts w:hint="eastAsia" w:ascii="仿宋" w:hAnsi="仿宋" w:eastAsia="仿宋" w:cs="仿宋"/>
                <w:color w:val="000000"/>
                <w:kern w:val="0"/>
                <w:sz w:val="20"/>
                <w:szCs w:val="20"/>
                <w:lang w:val="en-US" w:eastAsia="zh-CN"/>
              </w:rPr>
              <w:t>890.98</w:t>
            </w:r>
          </w:p>
        </w:tc>
      </w:tr>
      <w:tr w14:paraId="211F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2534412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0A275FCF">
            <w:pPr>
              <w:keepNext w:val="0"/>
              <w:keepLines w:val="0"/>
              <w:pageBreakBefore w:val="0"/>
              <w:widowControl/>
              <w:kinsoku/>
              <w:wordWrap/>
              <w:overflowPunct/>
              <w:topLinePunct w:val="0"/>
              <w:autoSpaceDE/>
              <w:autoSpaceDN/>
              <w:bidi w:val="0"/>
              <w:adjustRightInd/>
              <w:snapToGrid/>
              <w:spacing w:line="240" w:lineRule="exact"/>
              <w:ind w:firstLine="800" w:firstLineChars="4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政府性基金拨款：</w:t>
            </w:r>
          </w:p>
        </w:tc>
        <w:tc>
          <w:tcPr>
            <w:tcW w:w="3496" w:type="dxa"/>
            <w:gridSpan w:val="4"/>
            <w:noWrap w:val="0"/>
            <w:vAlign w:val="center"/>
          </w:tcPr>
          <w:p w14:paraId="5B77E8B7">
            <w:pPr>
              <w:keepNext w:val="0"/>
              <w:keepLines w:val="0"/>
              <w:pageBreakBefore w:val="0"/>
              <w:widowControl/>
              <w:kinsoku/>
              <w:wordWrap/>
              <w:overflowPunct/>
              <w:topLinePunct w:val="0"/>
              <w:autoSpaceDE/>
              <w:autoSpaceDN/>
              <w:bidi w:val="0"/>
              <w:adjustRightInd/>
              <w:snapToGrid/>
              <w:spacing w:line="240" w:lineRule="exact"/>
              <w:ind w:firstLine="600" w:firstLineChars="3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项目支出：</w:t>
            </w:r>
            <w:r>
              <w:rPr>
                <w:rFonts w:hint="eastAsia" w:ascii="仿宋" w:hAnsi="仿宋" w:eastAsia="仿宋" w:cs="仿宋"/>
                <w:color w:val="000000"/>
                <w:kern w:val="0"/>
                <w:sz w:val="20"/>
                <w:szCs w:val="20"/>
                <w:lang w:val="en-US" w:eastAsia="zh-CN"/>
              </w:rPr>
              <w:t>33</w:t>
            </w:r>
          </w:p>
        </w:tc>
      </w:tr>
      <w:tr w14:paraId="57B1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2FEDFF9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60E1CDB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纳入专户管理的非税收入拨款：</w:t>
            </w:r>
          </w:p>
        </w:tc>
        <w:tc>
          <w:tcPr>
            <w:tcW w:w="3496" w:type="dxa"/>
            <w:gridSpan w:val="4"/>
            <w:noWrap w:val="0"/>
            <w:vAlign w:val="center"/>
          </w:tcPr>
          <w:p w14:paraId="28EAB66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r>
      <w:tr w14:paraId="1DDF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69" w:type="dxa"/>
            <w:vMerge w:val="continue"/>
            <w:noWrap w:val="0"/>
            <w:vAlign w:val="center"/>
          </w:tcPr>
          <w:p w14:paraId="455403C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47A1D607">
            <w:pPr>
              <w:keepNext w:val="0"/>
              <w:keepLines w:val="0"/>
              <w:pageBreakBefore w:val="0"/>
              <w:widowControl/>
              <w:kinsoku/>
              <w:wordWrap/>
              <w:overflowPunct/>
              <w:topLinePunct w:val="0"/>
              <w:autoSpaceDE/>
              <w:autoSpaceDN/>
              <w:bidi w:val="0"/>
              <w:adjustRightInd/>
              <w:snapToGrid/>
              <w:spacing w:line="240" w:lineRule="exact"/>
              <w:ind w:firstLine="1400" w:firstLineChars="7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3496" w:type="dxa"/>
            <w:gridSpan w:val="4"/>
            <w:noWrap w:val="0"/>
            <w:vAlign w:val="center"/>
          </w:tcPr>
          <w:p w14:paraId="4A98ACB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r>
      <w:tr w14:paraId="480E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restart"/>
            <w:noWrap w:val="0"/>
            <w:vAlign w:val="center"/>
          </w:tcPr>
          <w:p w14:paraId="2B5BF39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97" w:type="dxa"/>
            <w:gridSpan w:val="5"/>
            <w:noWrap w:val="0"/>
            <w:vAlign w:val="center"/>
          </w:tcPr>
          <w:p w14:paraId="0EE84E2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3496" w:type="dxa"/>
            <w:gridSpan w:val="4"/>
            <w:noWrap w:val="0"/>
            <w:vAlign w:val="center"/>
          </w:tcPr>
          <w:p w14:paraId="06A78D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296E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9" w:type="dxa"/>
            <w:vMerge w:val="continue"/>
            <w:noWrap w:val="0"/>
            <w:vAlign w:val="center"/>
          </w:tcPr>
          <w:p w14:paraId="693CA77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97" w:type="dxa"/>
            <w:gridSpan w:val="5"/>
            <w:noWrap w:val="0"/>
            <w:vAlign w:val="center"/>
          </w:tcPr>
          <w:p w14:paraId="334A3B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3496" w:type="dxa"/>
            <w:gridSpan w:val="4"/>
            <w:noWrap w:val="0"/>
            <w:vAlign w:val="center"/>
          </w:tcPr>
          <w:p w14:paraId="627AF8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r>
      <w:tr w14:paraId="4680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169" w:type="dxa"/>
            <w:vMerge w:val="restart"/>
            <w:noWrap w:val="0"/>
            <w:vAlign w:val="center"/>
          </w:tcPr>
          <w:p w14:paraId="0D232B0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15A2EC2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3BC6791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26542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176" w:type="dxa"/>
            <w:noWrap w:val="0"/>
            <w:vAlign w:val="center"/>
          </w:tcPr>
          <w:p w14:paraId="71DA88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128" w:type="dxa"/>
            <w:noWrap w:val="0"/>
            <w:vAlign w:val="center"/>
          </w:tcPr>
          <w:p w14:paraId="52F1536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093" w:type="dxa"/>
            <w:gridSpan w:val="2"/>
            <w:noWrap w:val="0"/>
            <w:vAlign w:val="center"/>
          </w:tcPr>
          <w:p w14:paraId="5CDF2F9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0" w:type="dxa"/>
            <w:noWrap w:val="0"/>
            <w:vAlign w:val="center"/>
          </w:tcPr>
          <w:p w14:paraId="2FA388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209E2A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14:paraId="1DB269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84366A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9" w:type="dxa"/>
            <w:noWrap w:val="0"/>
            <w:vAlign w:val="center"/>
          </w:tcPr>
          <w:p w14:paraId="12ABDE3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460" w:type="dxa"/>
            <w:noWrap w:val="0"/>
            <w:vAlign w:val="center"/>
          </w:tcPr>
          <w:p w14:paraId="20A77DE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193" w:type="dxa"/>
            <w:noWrap w:val="0"/>
            <w:vAlign w:val="top"/>
          </w:tcPr>
          <w:p w14:paraId="6347C24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DE8C2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484D55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2287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38FD35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restart"/>
            <w:noWrap w:val="0"/>
            <w:vAlign w:val="center"/>
          </w:tcPr>
          <w:p w14:paraId="6A3124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467353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p>
        </w:tc>
        <w:tc>
          <w:tcPr>
            <w:tcW w:w="1128" w:type="dxa"/>
            <w:vMerge w:val="restart"/>
            <w:noWrap w:val="0"/>
            <w:vAlign w:val="center"/>
          </w:tcPr>
          <w:p w14:paraId="7BD2CEE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w:t>
            </w:r>
          </w:p>
          <w:p w14:paraId="03186D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93" w:type="dxa"/>
            <w:gridSpan w:val="2"/>
            <w:noWrap w:val="0"/>
            <w:vAlign w:val="center"/>
          </w:tcPr>
          <w:p w14:paraId="2627A89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重点工作完成率</w:t>
            </w:r>
          </w:p>
        </w:tc>
        <w:tc>
          <w:tcPr>
            <w:tcW w:w="1200" w:type="dxa"/>
            <w:noWrap w:val="0"/>
            <w:vAlign w:val="center"/>
          </w:tcPr>
          <w:p w14:paraId="15320A1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134" w:type="dxa"/>
            <w:noWrap w:val="0"/>
            <w:vAlign w:val="center"/>
          </w:tcPr>
          <w:p w14:paraId="4176CED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709" w:type="dxa"/>
            <w:noWrap w:val="0"/>
            <w:vAlign w:val="center"/>
          </w:tcPr>
          <w:p w14:paraId="5C79F43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460" w:type="dxa"/>
            <w:noWrap w:val="0"/>
            <w:vAlign w:val="center"/>
          </w:tcPr>
          <w:p w14:paraId="0A17123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1193" w:type="dxa"/>
            <w:noWrap w:val="0"/>
            <w:vAlign w:val="center"/>
          </w:tcPr>
          <w:p w14:paraId="670437E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9C9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4A769E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3EE313E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1DACCF7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093" w:type="dxa"/>
            <w:gridSpan w:val="2"/>
            <w:noWrap w:val="0"/>
            <w:vAlign w:val="center"/>
          </w:tcPr>
          <w:p w14:paraId="2138761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200" w:type="dxa"/>
            <w:noWrap w:val="0"/>
            <w:vAlign w:val="center"/>
          </w:tcPr>
          <w:p w14:paraId="4511088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5B0A71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6C19533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460" w:type="dxa"/>
            <w:noWrap w:val="0"/>
            <w:vAlign w:val="center"/>
          </w:tcPr>
          <w:p w14:paraId="7A6C0B5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785C8D5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B93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6E5D67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575FE8D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3EA95B6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w:t>
            </w:r>
          </w:p>
          <w:p w14:paraId="5BF485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93" w:type="dxa"/>
            <w:gridSpan w:val="2"/>
            <w:noWrap w:val="0"/>
            <w:vAlign w:val="center"/>
          </w:tcPr>
          <w:p w14:paraId="1A1D720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质量达标率</w:t>
            </w:r>
          </w:p>
        </w:tc>
        <w:tc>
          <w:tcPr>
            <w:tcW w:w="1200" w:type="dxa"/>
            <w:noWrap w:val="0"/>
            <w:vAlign w:val="center"/>
          </w:tcPr>
          <w:p w14:paraId="1D91193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134" w:type="dxa"/>
            <w:noWrap w:val="0"/>
            <w:vAlign w:val="center"/>
          </w:tcPr>
          <w:p w14:paraId="04C6410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709" w:type="dxa"/>
            <w:noWrap w:val="0"/>
            <w:vAlign w:val="center"/>
          </w:tcPr>
          <w:p w14:paraId="0F51723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460" w:type="dxa"/>
            <w:noWrap w:val="0"/>
            <w:vAlign w:val="center"/>
          </w:tcPr>
          <w:p w14:paraId="13A6776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1193" w:type="dxa"/>
            <w:noWrap w:val="0"/>
            <w:vAlign w:val="center"/>
          </w:tcPr>
          <w:p w14:paraId="0CF6D5D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12F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7515C5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3AB6D28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670EC7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093" w:type="dxa"/>
            <w:gridSpan w:val="2"/>
            <w:noWrap w:val="0"/>
            <w:vAlign w:val="center"/>
          </w:tcPr>
          <w:p w14:paraId="11BD094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4E60FD6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A78711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07CEBF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460" w:type="dxa"/>
            <w:noWrap w:val="0"/>
            <w:vAlign w:val="center"/>
          </w:tcPr>
          <w:p w14:paraId="717F8C9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364620C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93F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5E764CB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1506E04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63F7D3A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w:t>
            </w:r>
          </w:p>
          <w:p w14:paraId="3A0DF0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93" w:type="dxa"/>
            <w:gridSpan w:val="2"/>
            <w:noWrap w:val="0"/>
            <w:vAlign w:val="center"/>
          </w:tcPr>
          <w:p w14:paraId="7A87339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完成及时率</w:t>
            </w:r>
          </w:p>
        </w:tc>
        <w:tc>
          <w:tcPr>
            <w:tcW w:w="1200" w:type="dxa"/>
            <w:noWrap w:val="0"/>
            <w:vAlign w:val="center"/>
          </w:tcPr>
          <w:p w14:paraId="646E828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134" w:type="dxa"/>
            <w:noWrap w:val="0"/>
            <w:vAlign w:val="center"/>
          </w:tcPr>
          <w:p w14:paraId="4676ADF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98</w:t>
            </w:r>
          </w:p>
        </w:tc>
        <w:tc>
          <w:tcPr>
            <w:tcW w:w="709" w:type="dxa"/>
            <w:noWrap w:val="0"/>
            <w:vAlign w:val="center"/>
          </w:tcPr>
          <w:p w14:paraId="60EB61A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460" w:type="dxa"/>
            <w:noWrap w:val="0"/>
            <w:vAlign w:val="center"/>
          </w:tcPr>
          <w:p w14:paraId="333CFD1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193" w:type="dxa"/>
            <w:noWrap w:val="0"/>
            <w:vAlign w:val="center"/>
          </w:tcPr>
          <w:p w14:paraId="421249C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E54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7DC964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0D4265F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09BFD5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093" w:type="dxa"/>
            <w:gridSpan w:val="2"/>
            <w:noWrap w:val="0"/>
            <w:vAlign w:val="center"/>
          </w:tcPr>
          <w:p w14:paraId="09A88E0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5CDAFE9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7917BA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38374E0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460" w:type="dxa"/>
            <w:noWrap w:val="0"/>
            <w:vAlign w:val="center"/>
          </w:tcPr>
          <w:p w14:paraId="4AAB46E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489A7A2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F99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3CBE04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74E3A4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2B5868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w:t>
            </w:r>
          </w:p>
          <w:p w14:paraId="049053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93" w:type="dxa"/>
            <w:gridSpan w:val="2"/>
            <w:noWrap w:val="0"/>
            <w:vAlign w:val="center"/>
          </w:tcPr>
          <w:p w14:paraId="1770BAF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lang w:eastAsia="zh-CN"/>
              </w:rPr>
              <w:t>经济</w:t>
            </w:r>
            <w:r>
              <w:rPr>
                <w:rFonts w:hint="eastAsia"/>
              </w:rPr>
              <w:t>成本节约率</w:t>
            </w:r>
          </w:p>
        </w:tc>
        <w:tc>
          <w:tcPr>
            <w:tcW w:w="1200" w:type="dxa"/>
            <w:noWrap w:val="0"/>
            <w:vAlign w:val="center"/>
          </w:tcPr>
          <w:p w14:paraId="06DB373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rPr>
              <w:t>≥</w:t>
            </w:r>
          </w:p>
        </w:tc>
        <w:tc>
          <w:tcPr>
            <w:tcW w:w="1134" w:type="dxa"/>
            <w:noWrap w:val="0"/>
            <w:vAlign w:val="center"/>
          </w:tcPr>
          <w:p w14:paraId="55DF34A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0</w:t>
            </w:r>
          </w:p>
        </w:tc>
        <w:tc>
          <w:tcPr>
            <w:tcW w:w="709" w:type="dxa"/>
            <w:noWrap w:val="0"/>
            <w:vAlign w:val="center"/>
          </w:tcPr>
          <w:p w14:paraId="2514F75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460" w:type="dxa"/>
            <w:noWrap w:val="0"/>
            <w:vAlign w:val="center"/>
          </w:tcPr>
          <w:p w14:paraId="6596D32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193" w:type="dxa"/>
            <w:noWrap w:val="0"/>
            <w:vAlign w:val="center"/>
          </w:tcPr>
          <w:p w14:paraId="057A7D8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0A9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2F1D702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0003319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45BCF51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3" w:type="dxa"/>
            <w:gridSpan w:val="2"/>
            <w:noWrap w:val="0"/>
            <w:vAlign w:val="center"/>
          </w:tcPr>
          <w:p w14:paraId="54AAF7D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1200" w:type="dxa"/>
            <w:noWrap w:val="0"/>
            <w:vAlign w:val="center"/>
          </w:tcPr>
          <w:p w14:paraId="1A2C639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rPr>
              <w:t>≥</w:t>
            </w:r>
          </w:p>
        </w:tc>
        <w:tc>
          <w:tcPr>
            <w:tcW w:w="1134" w:type="dxa"/>
            <w:noWrap w:val="0"/>
            <w:vAlign w:val="center"/>
          </w:tcPr>
          <w:p w14:paraId="5399BB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0</w:t>
            </w:r>
          </w:p>
        </w:tc>
        <w:tc>
          <w:tcPr>
            <w:tcW w:w="709" w:type="dxa"/>
            <w:noWrap w:val="0"/>
            <w:vAlign w:val="center"/>
          </w:tcPr>
          <w:p w14:paraId="4DBBAE3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460" w:type="dxa"/>
            <w:noWrap w:val="0"/>
            <w:vAlign w:val="center"/>
          </w:tcPr>
          <w:p w14:paraId="40A4658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193" w:type="dxa"/>
            <w:noWrap w:val="0"/>
            <w:vAlign w:val="center"/>
          </w:tcPr>
          <w:p w14:paraId="1CE8993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B71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4DBBFD9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restart"/>
            <w:noWrap w:val="0"/>
            <w:vAlign w:val="center"/>
          </w:tcPr>
          <w:p w14:paraId="406496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510B7C3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w:t>
            </w:r>
            <w:r>
              <w:rPr>
                <w:rFonts w:hint="eastAsia" w:ascii="仿宋" w:hAnsi="仿宋" w:eastAsia="仿宋" w:cs="仿宋"/>
                <w:color w:val="000000"/>
                <w:kern w:val="0"/>
                <w:sz w:val="20"/>
                <w:szCs w:val="20"/>
                <w:lang w:val="en-US" w:eastAsia="zh-CN"/>
              </w:rPr>
              <w:t>0</w:t>
            </w:r>
            <w:r>
              <w:rPr>
                <w:rFonts w:hint="eastAsia" w:ascii="仿宋" w:hAnsi="仿宋" w:eastAsia="仿宋" w:cs="仿宋"/>
                <w:color w:val="000000"/>
                <w:kern w:val="0"/>
                <w:sz w:val="20"/>
                <w:szCs w:val="20"/>
              </w:rPr>
              <w:t>分）</w:t>
            </w:r>
          </w:p>
        </w:tc>
        <w:tc>
          <w:tcPr>
            <w:tcW w:w="1128" w:type="dxa"/>
            <w:vMerge w:val="restart"/>
            <w:noWrap w:val="0"/>
            <w:vAlign w:val="center"/>
          </w:tcPr>
          <w:p w14:paraId="3F4471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3AF60F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93" w:type="dxa"/>
            <w:gridSpan w:val="2"/>
            <w:noWrap w:val="0"/>
            <w:vAlign w:val="center"/>
          </w:tcPr>
          <w:p w14:paraId="0FFCE3E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资金使用效益</w:t>
            </w:r>
          </w:p>
        </w:tc>
        <w:tc>
          <w:tcPr>
            <w:tcW w:w="1200" w:type="dxa"/>
            <w:noWrap w:val="0"/>
            <w:vAlign w:val="center"/>
          </w:tcPr>
          <w:p w14:paraId="7182D30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6F31FD6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54E1947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460" w:type="dxa"/>
            <w:noWrap w:val="0"/>
            <w:vAlign w:val="center"/>
          </w:tcPr>
          <w:p w14:paraId="48E844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193" w:type="dxa"/>
            <w:noWrap w:val="0"/>
            <w:vAlign w:val="center"/>
          </w:tcPr>
          <w:p w14:paraId="622CFBD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D35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64F9D49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2DF6991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501D351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093" w:type="dxa"/>
            <w:gridSpan w:val="2"/>
            <w:noWrap w:val="0"/>
            <w:vAlign w:val="center"/>
          </w:tcPr>
          <w:p w14:paraId="3BF858B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6F4D76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1EA51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300BA4C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60" w:type="dxa"/>
            <w:noWrap w:val="0"/>
            <w:vAlign w:val="center"/>
          </w:tcPr>
          <w:p w14:paraId="4B74CCB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16D480C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07F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5C20B9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1604A81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237F64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5C584DC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93" w:type="dxa"/>
            <w:gridSpan w:val="2"/>
            <w:noWrap w:val="0"/>
            <w:vAlign w:val="center"/>
          </w:tcPr>
          <w:p w14:paraId="5E88F28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社会效益情况</w:t>
            </w:r>
          </w:p>
        </w:tc>
        <w:tc>
          <w:tcPr>
            <w:tcW w:w="1200" w:type="dxa"/>
            <w:noWrap w:val="0"/>
            <w:vAlign w:val="center"/>
          </w:tcPr>
          <w:p w14:paraId="636345C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41A610A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4717B7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460" w:type="dxa"/>
            <w:noWrap w:val="0"/>
            <w:vAlign w:val="center"/>
          </w:tcPr>
          <w:p w14:paraId="16E1E9F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w:t>
            </w:r>
          </w:p>
        </w:tc>
        <w:tc>
          <w:tcPr>
            <w:tcW w:w="1193" w:type="dxa"/>
            <w:noWrap w:val="0"/>
            <w:vAlign w:val="center"/>
          </w:tcPr>
          <w:p w14:paraId="6C14AB7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A8E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43B2F6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0268CF3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3AE5583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093" w:type="dxa"/>
            <w:gridSpan w:val="2"/>
            <w:noWrap w:val="0"/>
            <w:vAlign w:val="center"/>
          </w:tcPr>
          <w:p w14:paraId="077E596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5ED9AFA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2F2F37C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3337A70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60" w:type="dxa"/>
            <w:noWrap w:val="0"/>
            <w:vAlign w:val="center"/>
          </w:tcPr>
          <w:p w14:paraId="0F86C01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16C36BB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49A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12B4E22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08C075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2E867DF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22B9B8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93" w:type="dxa"/>
            <w:gridSpan w:val="2"/>
            <w:noWrap w:val="0"/>
            <w:vAlign w:val="center"/>
          </w:tcPr>
          <w:p w14:paraId="17FF406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生态效益情况</w:t>
            </w:r>
          </w:p>
        </w:tc>
        <w:tc>
          <w:tcPr>
            <w:tcW w:w="1200" w:type="dxa"/>
            <w:noWrap w:val="0"/>
            <w:vAlign w:val="center"/>
          </w:tcPr>
          <w:p w14:paraId="7B14DA9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61572B2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49D5AAD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460" w:type="dxa"/>
            <w:noWrap w:val="0"/>
            <w:vAlign w:val="center"/>
          </w:tcPr>
          <w:p w14:paraId="00509CE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193" w:type="dxa"/>
            <w:noWrap w:val="0"/>
            <w:vAlign w:val="center"/>
          </w:tcPr>
          <w:p w14:paraId="416FE3B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F05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090BA88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19CA107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3A58792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3" w:type="dxa"/>
            <w:gridSpan w:val="2"/>
            <w:noWrap w:val="0"/>
            <w:vAlign w:val="center"/>
          </w:tcPr>
          <w:p w14:paraId="4C36F57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42F47BD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59094B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418E65D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60" w:type="dxa"/>
            <w:noWrap w:val="0"/>
            <w:vAlign w:val="center"/>
          </w:tcPr>
          <w:p w14:paraId="5C38C72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71AD63F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952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1F805A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6" w:type="dxa"/>
            <w:vMerge w:val="continue"/>
            <w:noWrap w:val="0"/>
            <w:vAlign w:val="center"/>
          </w:tcPr>
          <w:p w14:paraId="00EBB72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restart"/>
            <w:noWrap w:val="0"/>
            <w:vAlign w:val="center"/>
          </w:tcPr>
          <w:p w14:paraId="5531090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093" w:type="dxa"/>
            <w:gridSpan w:val="2"/>
            <w:noWrap w:val="0"/>
            <w:vAlign w:val="center"/>
          </w:tcPr>
          <w:p w14:paraId="50069BE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可持续影响情况</w:t>
            </w:r>
          </w:p>
        </w:tc>
        <w:tc>
          <w:tcPr>
            <w:tcW w:w="1200" w:type="dxa"/>
            <w:noWrap w:val="0"/>
            <w:vAlign w:val="center"/>
          </w:tcPr>
          <w:p w14:paraId="2E92F0F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739D46E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5518062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460" w:type="dxa"/>
            <w:noWrap w:val="0"/>
            <w:vAlign w:val="center"/>
          </w:tcPr>
          <w:p w14:paraId="5EDA1B0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1193" w:type="dxa"/>
            <w:noWrap w:val="0"/>
            <w:vAlign w:val="center"/>
          </w:tcPr>
          <w:p w14:paraId="5BD46CF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1C7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69" w:type="dxa"/>
            <w:vMerge w:val="continue"/>
            <w:noWrap w:val="0"/>
            <w:vAlign w:val="center"/>
          </w:tcPr>
          <w:p w14:paraId="1F3A712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76" w:type="dxa"/>
            <w:vMerge w:val="continue"/>
            <w:noWrap w:val="0"/>
            <w:vAlign w:val="center"/>
          </w:tcPr>
          <w:p w14:paraId="6727ADF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27F3AF6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3" w:type="dxa"/>
            <w:gridSpan w:val="2"/>
            <w:noWrap w:val="0"/>
            <w:vAlign w:val="center"/>
          </w:tcPr>
          <w:p w14:paraId="1AFA798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5B66287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148C81E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6D33DBD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60" w:type="dxa"/>
            <w:noWrap w:val="0"/>
            <w:vAlign w:val="center"/>
          </w:tcPr>
          <w:p w14:paraId="5FC573E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93" w:type="dxa"/>
            <w:noWrap w:val="0"/>
            <w:vAlign w:val="center"/>
          </w:tcPr>
          <w:p w14:paraId="1B94F6A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C78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7EB8FFE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76" w:type="dxa"/>
            <w:vMerge w:val="restart"/>
            <w:noWrap w:val="0"/>
            <w:vAlign w:val="center"/>
          </w:tcPr>
          <w:p w14:paraId="2BFBB7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6E4817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0BADEB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128" w:type="dxa"/>
            <w:vMerge w:val="restart"/>
            <w:noWrap w:val="0"/>
            <w:vAlign w:val="center"/>
          </w:tcPr>
          <w:p w14:paraId="174210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093" w:type="dxa"/>
            <w:gridSpan w:val="2"/>
            <w:noWrap w:val="0"/>
            <w:vAlign w:val="center"/>
          </w:tcPr>
          <w:p w14:paraId="24814D9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人民群众满意度</w:t>
            </w:r>
          </w:p>
        </w:tc>
        <w:tc>
          <w:tcPr>
            <w:tcW w:w="1200" w:type="dxa"/>
            <w:noWrap w:val="0"/>
            <w:vAlign w:val="center"/>
          </w:tcPr>
          <w:p w14:paraId="54B266D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98</w:t>
            </w:r>
          </w:p>
        </w:tc>
        <w:tc>
          <w:tcPr>
            <w:tcW w:w="1134" w:type="dxa"/>
            <w:noWrap w:val="0"/>
            <w:vAlign w:val="center"/>
          </w:tcPr>
          <w:p w14:paraId="56EEF01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9" w:type="dxa"/>
            <w:noWrap w:val="0"/>
            <w:vAlign w:val="center"/>
          </w:tcPr>
          <w:p w14:paraId="05A868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460" w:type="dxa"/>
            <w:noWrap w:val="0"/>
            <w:vAlign w:val="center"/>
          </w:tcPr>
          <w:p w14:paraId="039A36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w:t>
            </w:r>
          </w:p>
        </w:tc>
        <w:tc>
          <w:tcPr>
            <w:tcW w:w="1193" w:type="dxa"/>
            <w:noWrap w:val="0"/>
            <w:vAlign w:val="center"/>
          </w:tcPr>
          <w:p w14:paraId="4F715B4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B22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Merge w:val="continue"/>
            <w:noWrap w:val="0"/>
            <w:vAlign w:val="center"/>
          </w:tcPr>
          <w:p w14:paraId="481CC01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76" w:type="dxa"/>
            <w:vMerge w:val="continue"/>
            <w:noWrap w:val="0"/>
            <w:vAlign w:val="center"/>
          </w:tcPr>
          <w:p w14:paraId="1F6DFFA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28" w:type="dxa"/>
            <w:vMerge w:val="continue"/>
            <w:noWrap w:val="0"/>
            <w:vAlign w:val="center"/>
          </w:tcPr>
          <w:p w14:paraId="2C1CF75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3" w:type="dxa"/>
            <w:gridSpan w:val="2"/>
            <w:noWrap w:val="0"/>
            <w:vAlign w:val="center"/>
          </w:tcPr>
          <w:p w14:paraId="5854D8B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0" w:type="dxa"/>
            <w:noWrap w:val="0"/>
            <w:vAlign w:val="center"/>
          </w:tcPr>
          <w:p w14:paraId="367C17E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2A6CF32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9" w:type="dxa"/>
            <w:noWrap w:val="0"/>
            <w:vAlign w:val="center"/>
          </w:tcPr>
          <w:p w14:paraId="148AF7A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60" w:type="dxa"/>
            <w:noWrap w:val="0"/>
            <w:vAlign w:val="center"/>
          </w:tcPr>
          <w:p w14:paraId="4DCC50C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93" w:type="dxa"/>
            <w:noWrap w:val="0"/>
            <w:vAlign w:val="center"/>
          </w:tcPr>
          <w:p w14:paraId="07573E7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9E7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00" w:type="dxa"/>
            <w:gridSpan w:val="7"/>
            <w:noWrap w:val="0"/>
            <w:vAlign w:val="center"/>
          </w:tcPr>
          <w:p w14:paraId="6E5EDF0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9" w:type="dxa"/>
            <w:noWrap w:val="0"/>
            <w:vAlign w:val="center"/>
          </w:tcPr>
          <w:p w14:paraId="460214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460" w:type="dxa"/>
            <w:noWrap w:val="0"/>
            <w:vAlign w:val="center"/>
          </w:tcPr>
          <w:p w14:paraId="7C2C8FE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95</w:t>
            </w:r>
          </w:p>
        </w:tc>
        <w:tc>
          <w:tcPr>
            <w:tcW w:w="1193" w:type="dxa"/>
            <w:noWrap w:val="0"/>
            <w:vAlign w:val="center"/>
          </w:tcPr>
          <w:p w14:paraId="1BA917B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07DA3716">
      <w:pPr>
        <w:widowControl w:val="0"/>
        <w:kinsoku/>
        <w:autoSpaceDE/>
        <w:autoSpaceDN/>
        <w:adjustRightInd/>
        <w:snapToGrid/>
        <w:spacing w:line="600" w:lineRule="exact"/>
        <w:jc w:val="both"/>
        <w:textAlignment w:val="auto"/>
        <w:rPr>
          <w:rFonts w:hint="default"/>
          <w:lang w:val="en-US"/>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杨小玲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8月31日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8877229</w:t>
      </w:r>
    </w:p>
    <w:sectPr>
      <w:pgSz w:w="11906" w:h="16838"/>
      <w:pgMar w:top="2041" w:right="1417" w:bottom="1757" w:left="1531"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112C7"/>
    <w:multiLevelType w:val="singleLevel"/>
    <w:tmpl w:val="8B4112C7"/>
    <w:lvl w:ilvl="0" w:tentative="0">
      <w:start w:val="2"/>
      <w:numFmt w:val="chineseCounting"/>
      <w:suff w:val="nothing"/>
      <w:lvlText w:val="（%1）"/>
      <w:lvlJc w:val="left"/>
      <w:rPr>
        <w:rFonts w:hint="eastAsia"/>
      </w:rPr>
    </w:lvl>
  </w:abstractNum>
  <w:abstractNum w:abstractNumId="1">
    <w:nsid w:val="AE12BAC7"/>
    <w:multiLevelType w:val="singleLevel"/>
    <w:tmpl w:val="AE12BAC7"/>
    <w:lvl w:ilvl="0" w:tentative="0">
      <w:start w:val="2"/>
      <w:numFmt w:val="chineseCounting"/>
      <w:suff w:val="nothing"/>
      <w:lvlText w:val="（%1）"/>
      <w:lvlJc w:val="left"/>
      <w:rPr>
        <w:rFonts w:hint="eastAsia"/>
      </w:rPr>
    </w:lvl>
  </w:abstractNum>
  <w:abstractNum w:abstractNumId="2">
    <w:nsid w:val="3413E64E"/>
    <w:multiLevelType w:val="singleLevel"/>
    <w:tmpl w:val="3413E64E"/>
    <w:lvl w:ilvl="0" w:tentative="0">
      <w:start w:val="8"/>
      <w:numFmt w:val="chineseCounting"/>
      <w:suff w:val="nothing"/>
      <w:lvlText w:val="%1、"/>
      <w:lvlJc w:val="left"/>
      <w:rPr>
        <w:rFonts w:hint="eastAsia"/>
      </w:rPr>
    </w:lvl>
  </w:abstractNum>
  <w:abstractNum w:abstractNumId="3">
    <w:nsid w:val="4C46AFBF"/>
    <w:multiLevelType w:val="singleLevel"/>
    <w:tmpl w:val="4C46AFBF"/>
    <w:lvl w:ilvl="0" w:tentative="0">
      <w:start w:val="2"/>
      <w:numFmt w:val="decimal"/>
      <w:lvlText w:val="%1."/>
      <w:lvlJc w:val="left"/>
      <w:pPr>
        <w:tabs>
          <w:tab w:val="left" w:pos="312"/>
        </w:tabs>
      </w:pPr>
    </w:lvl>
  </w:abstractNum>
  <w:abstractNum w:abstractNumId="4">
    <w:nsid w:val="5808CF29"/>
    <w:multiLevelType w:val="singleLevel"/>
    <w:tmpl w:val="5808CF29"/>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zMGRiYTg4MDRiNWIxNGI2NjQzZDVkYzA5NmQ4NGEifQ=="/>
  </w:docVars>
  <w:rsids>
    <w:rsidRoot w:val="69D75AF4"/>
    <w:rsid w:val="002E01C1"/>
    <w:rsid w:val="01BF2A08"/>
    <w:rsid w:val="13BF31B2"/>
    <w:rsid w:val="1D8667FB"/>
    <w:rsid w:val="246E3AC2"/>
    <w:rsid w:val="27AB53D1"/>
    <w:rsid w:val="28497EFA"/>
    <w:rsid w:val="2B75075B"/>
    <w:rsid w:val="2BE75717"/>
    <w:rsid w:val="2FB92D54"/>
    <w:rsid w:val="33566D81"/>
    <w:rsid w:val="4693038C"/>
    <w:rsid w:val="4A236EB7"/>
    <w:rsid w:val="4BDA3762"/>
    <w:rsid w:val="513B6A86"/>
    <w:rsid w:val="51812BDF"/>
    <w:rsid w:val="51AE10BC"/>
    <w:rsid w:val="548B19DC"/>
    <w:rsid w:val="54AC48FA"/>
    <w:rsid w:val="5C684D93"/>
    <w:rsid w:val="69D75AF4"/>
    <w:rsid w:val="6D873E94"/>
    <w:rsid w:val="71ED286D"/>
    <w:rsid w:val="744B7B91"/>
    <w:rsid w:val="77403368"/>
    <w:rsid w:val="7FCF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560" w:lineRule="exact"/>
      <w:ind w:firstLine="880" w:firstLineChars="200"/>
      <w:outlineLvl w:val="1"/>
    </w:pPr>
    <w:rPr>
      <w:rFonts w:ascii="Arial" w:hAnsi="Arial" w:eastAsia="黑体"/>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标题1"/>
    <w:basedOn w:val="2"/>
    <w:qFormat/>
    <w:uiPriority w:val="0"/>
    <w:rPr>
      <w:rFonts w:eastAsia="黑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13</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2024-09-09T03:49:00Z</dcterms:created>
  <dc:creator>甜秘密</dc:creator>
  <cp:lastModifiedBy>甜秘密</cp:lastModifiedBy>
  <dcterms:modified xsi:type="dcterms:W3CDTF">2024-09-09T08:46:02Z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A1E4206E369D4E8D846BAB2ACAFF13FD_11</vt:lpwstr>
  </property>
</Properties>
</file>