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3B034">
      <w:pPr>
        <w:jc w:val="center"/>
        <w:rPr>
          <w:rFonts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会同县民政局整体支出绩效目标自评</w:t>
      </w:r>
    </w:p>
    <w:p w14:paraId="76C50964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0D728416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2023年度，会同县民政局坚持以执行预算为中心，以节约费用为重点，抓好单位财务管理工作，现就2023年整体支出绩效自评如下：</w:t>
      </w:r>
    </w:p>
    <w:p w14:paraId="4C51DCA5">
      <w:pPr>
        <w:autoSpaceDN w:val="0"/>
        <w:spacing w:line="560" w:lineRule="exact"/>
        <w:ind w:firstLine="643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一、县民政局的主要职责、工作任务及目标</w:t>
      </w:r>
    </w:p>
    <w:p w14:paraId="78762186"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主要职责：</w:t>
      </w:r>
      <w:r>
        <w:rPr>
          <w:rFonts w:hint="eastAsia" w:ascii="仿宋" w:hAnsi="仿宋" w:eastAsia="仿宋" w:cs="仿宋"/>
          <w:sz w:val="32"/>
          <w:szCs w:val="32"/>
        </w:rPr>
        <w:t>会</w:t>
      </w:r>
      <w:r>
        <w:rPr>
          <w:rFonts w:hint="eastAsia" w:ascii="仿宋" w:hAnsi="仿宋" w:eastAsia="仿宋"/>
          <w:sz w:val="32"/>
          <w:szCs w:val="32"/>
        </w:rPr>
        <w:t>同县民政局履行着“上为政府分忧，下为群众解愁”的重要职能，主管社会救助、社会福利、社会事务、民间组织管理、基层政权建设、区划地名等工作。本部门有内设机构 6个,为：办公室（人事股）、规划财务股、行政审批服务股、社会组织管理股、社会救助股、社会事务股。下设二级机构8个，为：会同县会同县民政局婚姻登记处、会同县社会福利院、会同县殡仪馆、会同县慈善总会办公室、会同县社会福利有奖募捐办公室、会同县革命老根据地管理办公室、会同县老年福利服务中心、低收入家庭认定中心。</w:t>
      </w:r>
    </w:p>
    <w:p w14:paraId="7760C440"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sz w:val="32"/>
          <w:szCs w:val="32"/>
        </w:rPr>
        <w:t>主要工作任务及目标是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以党的二十大精神为指导，紧紧围绕县委、县政府的决策部署，以保障困难群体基本生活为突破口，切实履行改善民生、落实民权、维护民利的基本职责，继续解放思想，不断深化改革，实现了民政事业又好又快发展，为构建富裕文明和谐新会同作出了应有的贡献。</w:t>
      </w:r>
    </w:p>
    <w:p w14:paraId="0B050B7D">
      <w:pPr>
        <w:autoSpaceDN w:val="0"/>
        <w:spacing w:line="56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sz w:val="32"/>
          <w:szCs w:val="32"/>
        </w:rPr>
        <w:t>二、基本情况</w:t>
      </w:r>
    </w:p>
    <w:p w14:paraId="0A34B3C3">
      <w:pPr>
        <w:autoSpaceDN w:val="0"/>
        <w:spacing w:line="56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2023年会同县民政局</w:t>
      </w:r>
      <w:r>
        <w:rPr>
          <w:rFonts w:hint="eastAsia" w:ascii="仿宋" w:hAnsi="仿宋" w:eastAsia="仿宋" w:cs="仿宋"/>
          <w:sz w:val="32"/>
          <w:szCs w:val="32"/>
        </w:rPr>
        <w:t>现有行政编制人员5个，全额拨款事业编制23个，</w:t>
      </w:r>
      <w:r>
        <w:rPr>
          <w:rFonts w:hint="eastAsia" w:ascii="仿宋" w:hAnsi="仿宋" w:eastAsia="仿宋"/>
          <w:sz w:val="32"/>
          <w:szCs w:val="32"/>
        </w:rPr>
        <w:t>差额编制人员5人，</w:t>
      </w:r>
      <w:r>
        <w:rPr>
          <w:rFonts w:hint="eastAsia" w:ascii="仿宋" w:hAnsi="仿宋" w:eastAsia="仿宋" w:cs="仿宋"/>
          <w:sz w:val="32"/>
          <w:szCs w:val="32"/>
        </w:rPr>
        <w:t>自收自支事业编8个，实有在职人数41人，离、退休人员39人。有公务用车车辆1台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。</w:t>
      </w:r>
    </w:p>
    <w:p w14:paraId="362C2482">
      <w:pPr>
        <w:snapToGrid w:val="0"/>
        <w:spacing w:line="520" w:lineRule="exact"/>
        <w:ind w:firstLine="640" w:firstLineChars="200"/>
        <w:rPr>
          <w:rFonts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  <w:t>二、部门整体支出管理及使用情况</w:t>
      </w:r>
    </w:p>
    <w:p w14:paraId="5D87A206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320" w:firstLineChars="1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ascii="仿宋" w:hAnsi="仿宋" w:eastAsia="仿宋" w:cs="仿宋"/>
          <w:kern w:val="2"/>
          <w:sz w:val="32"/>
          <w:szCs w:val="32"/>
        </w:rPr>
        <w:t>（一）</w:t>
      </w:r>
      <w:r>
        <w:rPr>
          <w:rFonts w:hint="eastAsia" w:ascii="仿宋" w:hAnsi="仿宋" w:eastAsia="仿宋" w:cs="仿宋"/>
          <w:kern w:val="2"/>
          <w:sz w:val="32"/>
          <w:szCs w:val="32"/>
        </w:rPr>
        <w:t>预算执行、使用、管理总体情况。</w:t>
      </w:r>
    </w:p>
    <w:p w14:paraId="2B73C032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ascii="仿宋" w:hAnsi="仿宋" w:eastAsia="仿宋" w:cs="仿宋"/>
          <w:kern w:val="2"/>
          <w:sz w:val="32"/>
          <w:szCs w:val="32"/>
        </w:rPr>
        <w:t>1、预算执行方面</w:t>
      </w:r>
    </w:p>
    <w:p w14:paraId="42926C40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ascii="仿宋" w:hAnsi="仿宋" w:eastAsia="仿宋" w:cs="仿宋"/>
          <w:kern w:val="2"/>
          <w:sz w:val="32"/>
          <w:szCs w:val="32"/>
        </w:rPr>
        <w:t>2023年年初预算数</w:t>
      </w:r>
      <w:r>
        <w:rPr>
          <w:rFonts w:hint="eastAsia" w:ascii="仿宋" w:hAnsi="仿宋" w:eastAsia="仿宋" w:cs="仿宋"/>
          <w:kern w:val="2"/>
          <w:sz w:val="32"/>
          <w:szCs w:val="32"/>
        </w:rPr>
        <w:t>262.48</w:t>
      </w:r>
      <w:r>
        <w:rPr>
          <w:rFonts w:ascii="仿宋" w:hAnsi="仿宋" w:eastAsia="仿宋" w:cs="仿宋"/>
          <w:kern w:val="2"/>
          <w:sz w:val="32"/>
          <w:szCs w:val="32"/>
        </w:rPr>
        <w:t>万元，全年预算数</w:t>
      </w:r>
      <w:r>
        <w:rPr>
          <w:rFonts w:hint="eastAsia" w:ascii="仿宋" w:hAnsi="仿宋" w:eastAsia="仿宋" w:cs="仿宋"/>
          <w:kern w:val="2"/>
          <w:sz w:val="32"/>
          <w:szCs w:val="32"/>
        </w:rPr>
        <w:t>6761.51</w:t>
      </w:r>
      <w:r>
        <w:rPr>
          <w:rFonts w:ascii="仿宋" w:hAnsi="仿宋" w:eastAsia="仿宋" w:cs="仿宋"/>
          <w:kern w:val="2"/>
          <w:sz w:val="32"/>
          <w:szCs w:val="32"/>
        </w:rPr>
        <w:t>万元，全年执行数</w:t>
      </w:r>
      <w:r>
        <w:rPr>
          <w:rFonts w:hint="eastAsia" w:ascii="仿宋" w:hAnsi="仿宋" w:eastAsia="仿宋" w:cs="仿宋"/>
          <w:kern w:val="2"/>
          <w:sz w:val="32"/>
          <w:szCs w:val="32"/>
        </w:rPr>
        <w:t>6761.51</w:t>
      </w:r>
      <w:r>
        <w:rPr>
          <w:rFonts w:ascii="仿宋" w:hAnsi="仿宋" w:eastAsia="仿宋" w:cs="仿宋"/>
          <w:kern w:val="2"/>
          <w:sz w:val="32"/>
          <w:szCs w:val="32"/>
        </w:rPr>
        <w:t>万元，执行率</w:t>
      </w:r>
      <w:r>
        <w:rPr>
          <w:rFonts w:hint="eastAsia" w:ascii="仿宋" w:hAnsi="仿宋" w:eastAsia="仿宋" w:cs="仿宋"/>
          <w:kern w:val="2"/>
          <w:sz w:val="32"/>
          <w:szCs w:val="32"/>
        </w:rPr>
        <w:t>100</w:t>
      </w:r>
      <w:r>
        <w:rPr>
          <w:rFonts w:ascii="仿宋" w:hAnsi="仿宋" w:eastAsia="仿宋" w:cs="仿宋"/>
          <w:kern w:val="2"/>
          <w:sz w:val="32"/>
          <w:szCs w:val="32"/>
        </w:rPr>
        <w:t>%，预算执行控制好。</w:t>
      </w:r>
    </w:p>
    <w:p w14:paraId="64E31853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320" w:firstLineChars="1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ascii="仿宋" w:hAnsi="仿宋" w:eastAsia="仿宋" w:cs="仿宋"/>
          <w:kern w:val="2"/>
          <w:sz w:val="32"/>
          <w:szCs w:val="32"/>
        </w:rPr>
        <w:t>　2、预算管理方面</w:t>
      </w:r>
    </w:p>
    <w:p w14:paraId="0A405DB7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ascii="仿宋" w:hAnsi="仿宋" w:eastAsia="仿宋" w:cs="仿宋"/>
          <w:kern w:val="2"/>
          <w:sz w:val="32"/>
          <w:szCs w:val="32"/>
        </w:rPr>
        <w:t>经费控制率：2023年我局预算管理各项指标控制较好，2023年年初预算</w:t>
      </w:r>
      <w:r>
        <w:rPr>
          <w:rFonts w:hint="eastAsia" w:ascii="仿宋" w:hAnsi="仿宋" w:eastAsia="仿宋" w:cs="仿宋"/>
          <w:kern w:val="2"/>
          <w:sz w:val="32"/>
          <w:szCs w:val="32"/>
        </w:rPr>
        <w:t>262.48</w:t>
      </w:r>
      <w:r>
        <w:rPr>
          <w:rFonts w:ascii="仿宋" w:hAnsi="仿宋" w:eastAsia="仿宋" w:cs="仿宋"/>
          <w:kern w:val="2"/>
          <w:sz w:val="32"/>
          <w:szCs w:val="32"/>
        </w:rPr>
        <w:t>万元，全年预算数</w:t>
      </w:r>
      <w:r>
        <w:rPr>
          <w:rFonts w:hint="eastAsia" w:ascii="仿宋" w:hAnsi="仿宋" w:eastAsia="仿宋" w:cs="仿宋"/>
          <w:kern w:val="2"/>
          <w:sz w:val="32"/>
          <w:szCs w:val="32"/>
        </w:rPr>
        <w:t>6761.51</w:t>
      </w:r>
      <w:r>
        <w:rPr>
          <w:rFonts w:ascii="仿宋" w:hAnsi="仿宋" w:eastAsia="仿宋" w:cs="仿宋"/>
          <w:kern w:val="2"/>
          <w:sz w:val="32"/>
          <w:szCs w:val="32"/>
        </w:rPr>
        <w:t>万元，一般公共预算财政拨款收入</w:t>
      </w:r>
      <w:r>
        <w:rPr>
          <w:rFonts w:hint="eastAsia" w:ascii="仿宋" w:hAnsi="仿宋" w:eastAsia="仿宋" w:cs="仿宋"/>
          <w:kern w:val="2"/>
          <w:sz w:val="32"/>
          <w:szCs w:val="32"/>
        </w:rPr>
        <w:t>6423.32</w:t>
      </w:r>
      <w:r>
        <w:rPr>
          <w:rFonts w:ascii="仿宋" w:hAnsi="仿宋" w:eastAsia="仿宋" w:cs="仿宋"/>
          <w:kern w:val="2"/>
          <w:sz w:val="32"/>
          <w:szCs w:val="32"/>
        </w:rPr>
        <w:t>万元、其他收入</w:t>
      </w:r>
      <w:r>
        <w:rPr>
          <w:rFonts w:hint="eastAsia" w:ascii="仿宋" w:hAnsi="仿宋" w:eastAsia="仿宋" w:cs="仿宋"/>
          <w:kern w:val="2"/>
          <w:sz w:val="32"/>
          <w:szCs w:val="32"/>
        </w:rPr>
        <w:t>338.19</w:t>
      </w:r>
      <w:r>
        <w:rPr>
          <w:rFonts w:ascii="仿宋" w:hAnsi="仿宋" w:eastAsia="仿宋" w:cs="仿宋"/>
          <w:kern w:val="2"/>
          <w:sz w:val="32"/>
          <w:szCs w:val="32"/>
        </w:rPr>
        <w:t>万元。全年支出数</w:t>
      </w:r>
      <w:r>
        <w:rPr>
          <w:rFonts w:hint="eastAsia" w:ascii="仿宋" w:hAnsi="仿宋" w:eastAsia="仿宋" w:cs="仿宋"/>
          <w:kern w:val="2"/>
          <w:sz w:val="32"/>
          <w:szCs w:val="32"/>
        </w:rPr>
        <w:t>6761.51</w:t>
      </w:r>
      <w:r>
        <w:rPr>
          <w:rFonts w:ascii="仿宋" w:hAnsi="仿宋" w:eastAsia="仿宋" w:cs="仿宋"/>
          <w:kern w:val="2"/>
          <w:sz w:val="32"/>
          <w:szCs w:val="32"/>
        </w:rPr>
        <w:t>万元，经费控制率</w:t>
      </w:r>
      <w:r>
        <w:rPr>
          <w:rFonts w:hint="eastAsia" w:ascii="仿宋" w:hAnsi="仿宋" w:eastAsia="仿宋" w:cs="仿宋"/>
          <w:kern w:val="2"/>
          <w:sz w:val="32"/>
          <w:szCs w:val="32"/>
        </w:rPr>
        <w:t>100</w:t>
      </w:r>
      <w:r>
        <w:rPr>
          <w:rFonts w:ascii="仿宋" w:hAnsi="仿宋" w:eastAsia="仿宋" w:cs="仿宋"/>
          <w:kern w:val="2"/>
          <w:sz w:val="32"/>
          <w:szCs w:val="32"/>
        </w:rPr>
        <w:t>%，经费控制率较好。</w:t>
      </w:r>
    </w:p>
    <w:p w14:paraId="28021916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333333"/>
          <w:sz w:val="27"/>
          <w:szCs w:val="27"/>
          <w:shd w:val="clear" w:color="auto" w:fill="FFFFFF"/>
        </w:rPr>
        <w:t>3</w:t>
      </w:r>
      <w:r>
        <w:rPr>
          <w:rFonts w:hint="eastAsia" w:ascii="仿宋" w:hAnsi="仿宋" w:eastAsia="仿宋" w:cs="仿宋"/>
          <w:kern w:val="2"/>
          <w:sz w:val="32"/>
          <w:szCs w:val="32"/>
        </w:rPr>
        <w:t>、建立健全管理制度</w:t>
      </w:r>
    </w:p>
    <w:p w14:paraId="66EFD92D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　 为加强全局部门经费财务管理、规范财务收支、提高资金使用效率，根据《中华人民共和国会计法》《中华人民共和国预算法》等法律和财政部及省财政厅、市财政局、县财政局有关财务规章的规定，我局制订了《会同县民政局内部管理制度》，对资金的使用与管理作了明确规定，包括开支范围、标准、报账程序和要求、审批权限及公务卡结算等。同时严格按《会同县县直机关差旅费管理办法》《会同县直机关会议费管理办法》《会同县直机关培训费管理办法》等规定加强对会议费、培训费、差旅费、公务接待费等经费的管理，确保我局各项经济活动合法、合规、有序开展。</w:t>
      </w:r>
    </w:p>
    <w:p w14:paraId="0E46E85E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320" w:firstLineChars="1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　4、规范资金使用</w:t>
      </w:r>
    </w:p>
    <w:p w14:paraId="55602E28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320" w:firstLineChars="1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　各项资金使用时严格执行国家财经法规和财务管理制度，资金拨付有完整的审批程序，经费使用前根据部门预算批复的用途，履行事前审批程序。经费拨付时，对于未履行事前审批程序的、事前审批程序不完整的、与审批支出事项不一致的，不予报销；对于超范围、超标准开支的，超过部分不予报销；对于未提供合法、有效票据的，或票据不完善的不予报销；对于无预算或超预算的、报销程序不完善的不予报销。</w:t>
      </w:r>
    </w:p>
    <w:p w14:paraId="4889B50A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320" w:firstLineChars="1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　5、预决算信息公开透明</w:t>
      </w:r>
    </w:p>
    <w:p w14:paraId="63B4E594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320" w:firstLineChars="1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　加快预算执行，盘活存量资金，减少追加资金。真实准确编制部门预算和决算，按时上报基础数据资料。按规定时限和规定内容公开部门预算、部门决算以及绩效自评报告。各项应向社会公开的信息及时、完整、真实，部门预决算信息透明度进一步提高。</w:t>
      </w:r>
    </w:p>
    <w:p w14:paraId="74358B4B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hAnsi="Times New Roman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部门预算执行情况</w:t>
      </w:r>
    </w:p>
    <w:p w14:paraId="02A465FD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  <w:t>1.基本支出情况</w:t>
      </w:r>
    </w:p>
    <w:p w14:paraId="108ADB7E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ascii="仿宋" w:hAnsi="仿宋" w:eastAsia="仿宋" w:cs="仿宋"/>
          <w:kern w:val="2"/>
          <w:sz w:val="32"/>
          <w:szCs w:val="32"/>
        </w:rPr>
        <w:t>基本支出主要是保障机构正常运转、完成日常工作任务而发生的各项支出，包括在职人员工资福利支出、三公经费、水电、办公经费等商品和服务支出。2023</w:t>
      </w:r>
      <w:r>
        <w:rPr>
          <w:rFonts w:hint="eastAsia" w:ascii="仿宋" w:hAnsi="仿宋" w:eastAsia="仿宋" w:cs="仿宋"/>
          <w:kern w:val="2"/>
          <w:sz w:val="32"/>
          <w:szCs w:val="32"/>
        </w:rPr>
        <w:t>年本部门预算基本支出156.18万元，</w:t>
      </w:r>
      <w:bookmarkStart w:id="0" w:name="OLE_LINK4"/>
      <w:r>
        <w:rPr>
          <w:rFonts w:hint="eastAsia" w:ascii="仿宋" w:hAnsi="仿宋" w:eastAsia="仿宋" w:cs="仿宋"/>
          <w:kern w:val="2"/>
          <w:sz w:val="32"/>
          <w:szCs w:val="32"/>
        </w:rPr>
        <w:t>占全年预算支出的2.31%</w:t>
      </w:r>
      <w:bookmarkEnd w:id="0"/>
      <w:r>
        <w:rPr>
          <w:rFonts w:hint="eastAsia" w:ascii="仿宋" w:hAnsi="仿宋" w:eastAsia="仿宋" w:cs="仿宋"/>
          <w:kern w:val="2"/>
          <w:sz w:val="32"/>
          <w:szCs w:val="32"/>
        </w:rPr>
        <w:t>，其中：人员经费支出111.88万元；公用经费支出44.3万元。</w:t>
      </w:r>
    </w:p>
    <w:p w14:paraId="658B4F5D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left="64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</w:rPr>
        <w:t>2、</w:t>
      </w:r>
      <w:r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  <w:t>项目支出情况</w:t>
      </w:r>
    </w:p>
    <w:p w14:paraId="17542920">
      <w:pPr>
        <w:ind w:firstLine="640" w:firstLineChars="200"/>
        <w:rPr>
          <w:rFonts w:ascii="仿宋" w:hAnsi="仿宋" w:eastAsia="仿宋" w:cs="仿宋"/>
          <w:spacing w:val="20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2023年度，我局根据</w:t>
      </w:r>
      <w:r>
        <w:rPr>
          <w:rFonts w:hint="eastAsia" w:ascii="仿宋" w:hAnsi="仿宋" w:eastAsia="仿宋" w:cs="仿宋"/>
          <w:sz w:val="32"/>
          <w:szCs w:val="32"/>
        </w:rPr>
        <w:t>民政部</w:t>
      </w:r>
      <w:r>
        <w:rPr>
          <w:rFonts w:ascii="仿宋" w:hAnsi="仿宋" w:eastAsia="仿宋" w:cs="仿宋"/>
          <w:sz w:val="32"/>
          <w:szCs w:val="32"/>
        </w:rPr>
        <w:t>总体部署和发展以及资金使用要求，专项资金坚持“专款专用”的使用原则，保证资金使用绩效。</w:t>
      </w:r>
      <w:r>
        <w:rPr>
          <w:rFonts w:ascii="仿宋" w:hAnsi="仿宋" w:eastAsia="仿宋" w:cs="仿宋"/>
          <w:spacing w:val="20"/>
          <w:sz w:val="32"/>
          <w:szCs w:val="32"/>
        </w:rPr>
        <w:t>项目支出</w:t>
      </w:r>
      <w:r>
        <w:rPr>
          <w:rFonts w:hint="eastAsia" w:ascii="仿宋" w:hAnsi="仿宋" w:eastAsia="仿宋" w:cs="仿宋"/>
          <w:spacing w:val="20"/>
          <w:sz w:val="32"/>
          <w:szCs w:val="32"/>
        </w:rPr>
        <w:t>6605.33</w:t>
      </w:r>
      <w:r>
        <w:rPr>
          <w:rFonts w:ascii="仿宋" w:hAnsi="仿宋" w:eastAsia="仿宋" w:cs="仿宋"/>
          <w:spacing w:val="20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20"/>
          <w:sz w:val="32"/>
          <w:szCs w:val="32"/>
        </w:rPr>
        <w:t>，占全年预算支出的97.69%， 其中：</w:t>
      </w:r>
    </w:p>
    <w:p w14:paraId="43394475">
      <w:pPr>
        <w:spacing w:line="360" w:lineRule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（1）县本级年初预算安排的项目，预算到位106.3万元，实际支出106.3万元，具体项目明细如下：</w:t>
      </w:r>
    </w:p>
    <w:p w14:paraId="68133840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sym w:font="Wingdings" w:char="F081"/>
      </w:r>
      <w:r>
        <w:rPr>
          <w:rFonts w:hint="eastAsia" w:ascii="仿宋" w:hAnsi="仿宋" w:eastAsia="仿宋" w:cs="仿宋"/>
          <w:sz w:val="32"/>
          <w:szCs w:val="32"/>
        </w:rPr>
        <w:t>非税征收成本项目预算到位0.7万元，实际支出0.7万元，主要用于办公经费中。</w:t>
      </w:r>
    </w:p>
    <w:p w14:paraId="50A06CA2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sym w:font="Wingdings" w:char="F082"/>
      </w:r>
      <w:r>
        <w:rPr>
          <w:rFonts w:hint="eastAsia" w:ascii="仿宋" w:hAnsi="仿宋" w:eastAsia="仿宋" w:cs="仿宋"/>
          <w:sz w:val="32"/>
          <w:szCs w:val="32"/>
        </w:rPr>
        <w:t>经常性补助项目预算到位32万元，实际支出32万元，用于保障单位4名自收自支人员的工资福利待遇。2023年1月财政一次性拨付到单位，单位按月造表发放到位。</w:t>
      </w:r>
    </w:p>
    <w:p w14:paraId="46694D96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fldChar w:fldCharType="begin"/>
      </w:r>
      <w:r>
        <w:rPr>
          <w:rFonts w:ascii="仿宋" w:hAnsi="仿宋" w:eastAsia="仿宋" w:cs="仿宋"/>
          <w:sz w:val="32"/>
          <w:szCs w:val="32"/>
        </w:rPr>
        <w:instrText xml:space="preserve"> </w:instrText>
      </w:r>
      <w:r>
        <w:rPr>
          <w:rFonts w:hint="eastAsia" w:ascii="仿宋" w:hAnsi="仿宋" w:eastAsia="仿宋" w:cs="仿宋"/>
          <w:sz w:val="32"/>
          <w:szCs w:val="32"/>
        </w:rPr>
        <w:instrText xml:space="preserve">= 3 \* GB3</w:instrText>
      </w:r>
      <w:r>
        <w:rPr>
          <w:rFonts w:ascii="仿宋" w:hAnsi="仿宋" w:eastAsia="仿宋" w:cs="仿宋"/>
          <w:sz w:val="32"/>
          <w:szCs w:val="32"/>
        </w:rPr>
        <w:instrText xml:space="preserve"> </w:instrText>
      </w:r>
      <w:r>
        <w:rPr>
          <w:rFonts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③</w:t>
      </w:r>
      <w:r>
        <w:rPr>
          <w:rFonts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敬老院运转经费项目预算到位48万元，实际支出48万元，主要用于保敬老院的正常运转。</w:t>
      </w:r>
    </w:p>
    <w:p w14:paraId="1929E96A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fldChar w:fldCharType="begin"/>
      </w:r>
      <w:r>
        <w:rPr>
          <w:rFonts w:ascii="仿宋" w:hAnsi="仿宋" w:eastAsia="仿宋" w:cs="仿宋"/>
          <w:sz w:val="32"/>
          <w:szCs w:val="32"/>
        </w:rPr>
        <w:instrText xml:space="preserve"> </w:instrText>
      </w:r>
      <w:r>
        <w:rPr>
          <w:rFonts w:hint="eastAsia" w:ascii="仿宋" w:hAnsi="仿宋" w:eastAsia="仿宋" w:cs="仿宋"/>
          <w:sz w:val="32"/>
          <w:szCs w:val="32"/>
        </w:rPr>
        <w:instrText xml:space="preserve">= 4 \* GB3</w:instrText>
      </w:r>
      <w:r>
        <w:rPr>
          <w:rFonts w:ascii="仿宋" w:hAnsi="仿宋" w:eastAsia="仿宋" w:cs="仿宋"/>
          <w:sz w:val="32"/>
          <w:szCs w:val="32"/>
        </w:rPr>
        <w:instrText xml:space="preserve"> </w:instrText>
      </w:r>
      <w:r>
        <w:rPr>
          <w:rFonts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④</w:t>
      </w:r>
      <w:r>
        <w:rPr>
          <w:rFonts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民政事务专项工作经费项目预算到位25.6万元，实际支出25.6万元，主要用于乡村振兴工作、党建工作、双拥创建、综治维稳等其他民政事务专项工作开展。</w:t>
      </w:r>
    </w:p>
    <w:p w14:paraId="60DAF010">
      <w:pPr>
        <w:rPr>
          <w:rFonts w:ascii="仿宋" w:hAnsi="仿宋" w:eastAsia="仿宋" w:cs="仿宋"/>
          <w:spacing w:val="2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（2）专项资金预算到位6499.03万元，实际支出6499.03万元其中：</w:t>
      </w:r>
      <w:r>
        <w:rPr>
          <w:rFonts w:ascii="仿宋" w:hAnsi="仿宋" w:eastAsia="仿宋" w:cs="仿宋"/>
          <w:sz w:val="32"/>
          <w:szCs w:val="32"/>
        </w:rPr>
        <w:t>项目主要用于</w:t>
      </w:r>
      <w:r>
        <w:rPr>
          <w:rFonts w:hint="eastAsia" w:ascii="仿宋" w:hAnsi="仿宋" w:eastAsia="仿宋" w:cs="仿宋"/>
          <w:sz w:val="32"/>
          <w:szCs w:val="32"/>
        </w:rPr>
        <w:t>城市最低生活保障、农村最低生活保障、残疾人生活和护理补贴、老年福利、儿童福利、临时救助支出、游泳乞讨人员救助等。</w:t>
      </w:r>
    </w:p>
    <w:p w14:paraId="27965A38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hAnsi="Times New Roman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"三公"经费使用和管理情况</w:t>
      </w:r>
    </w:p>
    <w:p w14:paraId="0A5AF222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2023年财政拨款安排“三公”经费预算数6万元， 2023年“三公”经费支出数4.15万元, 占年初预算69.17%，支出为公务接待费1.43万元，公务用车购置及运行维护费2.73万元。主要原因是：认真贯彻厉行节约要求，从严控制“三公”经费开支。</w:t>
      </w:r>
    </w:p>
    <w:p w14:paraId="7C17D6FC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三、政府性基金预算支出</w:t>
      </w:r>
    </w:p>
    <w:p w14:paraId="711DB1A4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left="64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hAnsi="Times New Roman" w:eastAsia="仿宋_GB2312" w:cs="仿宋_GB2312"/>
          <w:color w:val="000000"/>
          <w:sz w:val="32"/>
          <w:szCs w:val="32"/>
          <w:shd w:val="clear" w:color="auto" w:fill="FFFFFF"/>
        </w:rPr>
        <w:t>无政府性基金预算</w:t>
      </w:r>
    </w:p>
    <w:p w14:paraId="3AA982E0">
      <w:pPr>
        <w:pStyle w:val="2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国有资本经营预算支出情况</w:t>
      </w:r>
    </w:p>
    <w:p w14:paraId="28186FB4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left="64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hAnsi="Times New Roman" w:eastAsia="仿宋_GB2312" w:cs="仿宋_GB2312"/>
          <w:color w:val="000000"/>
          <w:sz w:val="32"/>
          <w:szCs w:val="32"/>
          <w:shd w:val="clear" w:color="auto" w:fill="FFFFFF"/>
        </w:rPr>
        <w:t>无国有资本经营预算。</w:t>
      </w:r>
    </w:p>
    <w:p w14:paraId="6F6BAEC5">
      <w:pPr>
        <w:pStyle w:val="2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社会保险基金预算支出情况</w:t>
      </w:r>
    </w:p>
    <w:p w14:paraId="241D2FFD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left="420" w:leftChars="2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hAnsi="Times New Roman" w:eastAsia="仿宋_GB2312" w:cs="仿宋_GB2312"/>
          <w:color w:val="000000"/>
          <w:sz w:val="32"/>
          <w:szCs w:val="32"/>
          <w:shd w:val="clear" w:color="auto" w:fill="FFFFFF"/>
        </w:rPr>
        <w:t>无社会保险基金预算。</w:t>
      </w:r>
    </w:p>
    <w:p w14:paraId="4D0A5307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六、部门整体支出绩效情况</w:t>
      </w:r>
    </w:p>
    <w:p w14:paraId="0B1340D8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楷体_GB2312" w:hAnsi="Times New Roman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综合评价结论。</w:t>
      </w:r>
      <w:r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  <w:t>反映自评得分及评价等级</w:t>
      </w: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</w:rPr>
        <w:t>。</w:t>
      </w:r>
    </w:p>
    <w:p w14:paraId="093BE328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</w:rPr>
        <w:t>按照省财政厅2023年部门整体支出绩效自评工作要求，围绕县委、县政府以及市局的工作部署，积极履行职责，强化管理，较好地完成了年度工作目标，同时加强预算收支的管理，建立健全内部管理制度，严格内部管理流程。根据部门整体支出绩效自评表，我单位2023年度绩效自评得分94分。</w:t>
      </w:r>
    </w:p>
    <w:p w14:paraId="5301DD14">
      <w:pPr>
        <w:pStyle w:val="2"/>
        <w:widowControl/>
        <w:numPr>
          <w:ilvl w:val="0"/>
          <w:numId w:val="2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评价指标分析（或综合评价情况）。</w:t>
      </w:r>
    </w:p>
    <w:p w14:paraId="5CCC8DC4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343233"/>
          <w:sz w:val="32"/>
          <w:szCs w:val="32"/>
        </w:rPr>
        <w:t>2023年，我们狠抓重点工作，</w:t>
      </w:r>
      <w:r>
        <w:rPr>
          <w:rFonts w:ascii="仿宋_GB2312" w:hAnsi="Times New Roman" w:eastAsia="仿宋_GB2312" w:cs="仿宋_GB2312"/>
          <w:color w:val="000000"/>
          <w:sz w:val="32"/>
          <w:szCs w:val="32"/>
          <w:shd w:val="clear" w:color="auto" w:fill="FFFFFF"/>
        </w:rPr>
        <w:t>严格落实党中央、习主席关于“厉行节约”的指示精神，强化预算经费绩效管理，在预算执行中做好绩效运行监控</w:t>
      </w:r>
      <w:r>
        <w:rPr>
          <w:rFonts w:hint="eastAsia" w:ascii="仿宋" w:hAnsi="仿宋" w:eastAsia="仿宋" w:cs="仿宋"/>
          <w:color w:val="343233"/>
          <w:sz w:val="32"/>
          <w:szCs w:val="32"/>
        </w:rPr>
        <w:t>较好的完成了各项目标工作任务，取得了较好的经济和社会效益，行政效能明显提高，社会公众满意度不断提升。</w:t>
      </w:r>
    </w:p>
    <w:p w14:paraId="1EC8C9CC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hAnsi="Times New Roman" w:eastAsia="仿宋_GB2312" w:cs="仿宋_GB2312"/>
          <w:color w:val="000000"/>
          <w:sz w:val="32"/>
          <w:szCs w:val="32"/>
          <w:shd w:val="clear" w:color="auto" w:fill="FFFFFF"/>
        </w:rPr>
        <w:t>预算执行方面：根据“总量控制、计划管理”的要求从严控制行政经费，压缩公务费开支，严格控制“三公”经费，支出总额控制在预算总额以内。</w:t>
      </w:r>
    </w:p>
    <w:p w14:paraId="3CD6AE22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hAnsi="Times New Roman" w:eastAsia="仿宋_GB2312" w:cs="仿宋_GB2312"/>
          <w:color w:val="000000"/>
          <w:sz w:val="32"/>
          <w:szCs w:val="32"/>
          <w:shd w:val="clear" w:color="auto" w:fill="FFFFFF"/>
        </w:rPr>
        <w:t>预算管理方面：切实有效地执行了各项财务管理制度、资产内部管理制度，资产配置严格政府采购，按照预算科目规定使用财政资金，保障资金支出的规范化、制度化，项目资金坚持按专项资金管理制度有效执行，确保专款专用；</w:t>
      </w:r>
    </w:p>
    <w:p w14:paraId="19520B0B">
      <w:pPr>
        <w:pStyle w:val="2"/>
        <w:spacing w:before="0" w:beforeAutospacing="0" w:after="0" w:afterAutospacing="0" w:line="560" w:lineRule="exact"/>
        <w:ind w:firstLine="480"/>
        <w:rPr>
          <w:rFonts w:ascii="仿宋" w:hAnsi="仿宋" w:eastAsia="仿宋" w:cs="仿宋"/>
          <w:color w:val="343233"/>
          <w:sz w:val="32"/>
          <w:szCs w:val="32"/>
        </w:rPr>
      </w:pPr>
      <w:r>
        <w:rPr>
          <w:rFonts w:hint="eastAsia" w:ascii="仿宋" w:hAnsi="仿宋" w:eastAsia="仿宋" w:cs="仿宋"/>
          <w:color w:val="343233"/>
          <w:sz w:val="32"/>
          <w:szCs w:val="32"/>
        </w:rPr>
        <w:t>经济效益：民政部门是社会民生保障的重要部门，通过财政部门的资金支撑，开展救助帮扶工作，解决困难群体的基本生活问题，充分发挥民政兜底保障作用。按标准向符合条件的困难群众发放救助金，低保补助水平和特困人员救助供养水平、残疾人两项补贴、孤儿补助高于2022年。</w:t>
      </w:r>
    </w:p>
    <w:p w14:paraId="5A5D1ECF">
      <w:pPr>
        <w:pStyle w:val="2"/>
        <w:spacing w:before="0" w:beforeAutospacing="0" w:after="0" w:afterAutospacing="0" w:line="560" w:lineRule="exact"/>
        <w:ind w:firstLine="480"/>
        <w:rPr>
          <w:rFonts w:ascii="仿宋" w:hAnsi="仿宋" w:eastAsia="仿宋" w:cs="仿宋"/>
          <w:color w:val="343233"/>
          <w:sz w:val="32"/>
          <w:szCs w:val="32"/>
        </w:rPr>
      </w:pPr>
      <w:r>
        <w:rPr>
          <w:rFonts w:hint="eastAsia" w:ascii="仿宋" w:hAnsi="仿宋" w:eastAsia="仿宋" w:cs="仿宋"/>
          <w:color w:val="343233"/>
          <w:sz w:val="32"/>
          <w:szCs w:val="32"/>
        </w:rPr>
        <w:t>社会效益：2023年在县委县政府的正确领导和上级民政部门的关心支持下，围绕建设现代民政、服务民政、法治民政这一总目标，稳中求进，实施“以人为本、创新发展”战略，突出“民生优先”，圆满完成了民政部门承担的各项工作任务，不少工作取得了好成绩，形成了工作亮点，得到了县委县政府及上级部门的肯定。民政工作涉及到千家万户，由于我们的不懈地努力、不断地付出，得到了全县人民特别是弱势群体的认可，社会满意度不断地提升。</w:t>
      </w:r>
    </w:p>
    <w:p w14:paraId="0378D016">
      <w:pPr>
        <w:pStyle w:val="2"/>
        <w:spacing w:before="0" w:beforeAutospacing="0" w:after="0" w:afterAutospacing="0" w:line="560" w:lineRule="exact"/>
        <w:ind w:firstLine="480"/>
        <w:rPr>
          <w:rFonts w:ascii="仿宋" w:hAnsi="仿宋" w:eastAsia="仿宋" w:cs="仿宋"/>
          <w:color w:val="343233"/>
          <w:sz w:val="32"/>
          <w:szCs w:val="32"/>
        </w:rPr>
      </w:pPr>
      <w:r>
        <w:rPr>
          <w:rFonts w:hint="eastAsia" w:ascii="仿宋" w:hAnsi="仿宋" w:eastAsia="仿宋" w:cs="仿宋"/>
          <w:color w:val="343233"/>
          <w:sz w:val="32"/>
          <w:szCs w:val="32"/>
        </w:rPr>
        <w:t xml:space="preserve"> 行政效能：推动出台加强和规范本局财务管理制度。高效优质做好政策研究、办文办会、改革协调、督查督办、信息宣传和财务、接待、资产、公车管理等工作，政务服务水平进一步提升。</w:t>
      </w:r>
    </w:p>
    <w:p w14:paraId="3DAD0A7C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七、存在的问题及原因分析</w:t>
      </w:r>
    </w:p>
    <w:p w14:paraId="2C8EA85C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  <w:t>通过对我局整体支出绩效完成情况进行分析，在整体支出绩效管理过程中还存在一些差距：一是预算编制前瞻性有待加强。主要原因是预算编制工作严谨，需要把握全局科学编制；二是绩效指标评价运用不够熟练。主要原因是对绩效评价制度的认识和学习不够。</w:t>
      </w:r>
    </w:p>
    <w:p w14:paraId="62ECC955">
      <w:pPr>
        <w:pStyle w:val="2"/>
        <w:widowControl/>
        <w:numPr>
          <w:ilvl w:val="0"/>
          <w:numId w:val="3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下一步改进措施</w:t>
      </w:r>
    </w:p>
    <w:p w14:paraId="43F70587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320" w:firstLineChars="1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仿宋_GB2312"/>
          <w:color w:val="000000"/>
          <w:sz w:val="32"/>
          <w:szCs w:val="32"/>
          <w:shd w:val="clear" w:color="auto" w:fill="FFFFFF"/>
        </w:rPr>
        <w:t>（一）加强预算编制管理。科学规划预算编制工作，强化预算编制的合理性与前瞻性，做好定量定性管理。</w:t>
      </w:r>
    </w:p>
    <w:p w14:paraId="09BA78A2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320" w:firstLineChars="1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仿宋_GB2312"/>
          <w:color w:val="000000"/>
          <w:sz w:val="32"/>
          <w:szCs w:val="32"/>
          <w:shd w:val="clear" w:color="auto" w:fill="FFFFFF"/>
        </w:rPr>
        <w:t>（二）开展绩效评价运用。全面运用绩效评价指标，规范工作内容，确保绩效评价工作有章可循，有序开展，注重履职效果。</w:t>
      </w:r>
    </w:p>
    <w:p w14:paraId="10370AE1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320" w:firstLineChars="1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仿宋_GB2312"/>
          <w:color w:val="000000"/>
          <w:sz w:val="32"/>
          <w:szCs w:val="32"/>
          <w:shd w:val="clear" w:color="auto" w:fill="FFFFFF"/>
        </w:rPr>
        <w:t>（三）预算财务分析常态化，定期做好预算支出财务分析，做好单位整体支出预算评价工作。</w:t>
      </w:r>
    </w:p>
    <w:p w14:paraId="1F6BA081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仿宋_GB2312"/>
          <w:color w:val="000000"/>
          <w:sz w:val="32"/>
          <w:szCs w:val="32"/>
          <w:shd w:val="clear" w:color="auto" w:fill="FFFFFF"/>
        </w:rPr>
        <w:t>九、其他需要说明的情况</w:t>
      </w:r>
    </w:p>
    <w:p w14:paraId="4379F9D9">
      <w:pPr>
        <w:pStyle w:val="2"/>
        <w:widowControl/>
        <w:shd w:val="clear" w:color="auto" w:fill="FFFFFF"/>
        <w:snapToGrid w:val="0"/>
        <w:spacing w:before="0" w:beforeAutospacing="0" w:after="0" w:afterAutospacing="0" w:line="520" w:lineRule="exact"/>
        <w:rPr>
          <w:color w:val="000000"/>
        </w:rPr>
      </w:pPr>
      <w:r>
        <w:rPr>
          <w:rFonts w:hint="eastAsia" w:ascii="Times New Roman" w:hAnsi="Times New Roman"/>
          <w:color w:val="000000"/>
        </w:rPr>
        <w:t xml:space="preserve">      无</w:t>
      </w:r>
    </w:p>
    <w:p w14:paraId="6AD62B30">
      <w:pPr>
        <w:widowControl/>
        <w:tabs>
          <w:tab w:val="left" w:pos="5625"/>
        </w:tabs>
        <w:spacing w:line="560" w:lineRule="exact"/>
        <w:ind w:firstLine="6080" w:firstLineChars="1900"/>
        <w:jc w:val="left"/>
        <w:rPr>
          <w:rFonts w:ascii="仿宋" w:hAnsi="仿宋" w:eastAsia="仿宋" w:cs="仿宋"/>
          <w:color w:val="3432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43233"/>
          <w:kern w:val="0"/>
          <w:sz w:val="32"/>
          <w:szCs w:val="32"/>
        </w:rPr>
        <w:t>会同县民政局</w:t>
      </w:r>
    </w:p>
    <w:p w14:paraId="284E8439"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hint="eastAsia" w:ascii="仿宋" w:hAnsi="仿宋" w:eastAsia="仿宋" w:cs="仿宋"/>
          <w:color w:val="343233"/>
          <w:kern w:val="0"/>
          <w:sz w:val="32"/>
          <w:szCs w:val="32"/>
        </w:rPr>
        <w:t xml:space="preserve">                                      2024年</w:t>
      </w:r>
      <w:r>
        <w:rPr>
          <w:rFonts w:hint="eastAsia" w:ascii="仿宋" w:hAnsi="仿宋" w:eastAsia="仿宋" w:cs="仿宋"/>
          <w:color w:val="343233"/>
          <w:kern w:val="0"/>
          <w:sz w:val="32"/>
          <w:szCs w:val="32"/>
          <w:lang w:val="en-US" w:eastAsia="zh-CN"/>
        </w:rPr>
        <w:t>9</w:t>
      </w:r>
      <w:bookmarkStart w:id="1" w:name="_GoBack"/>
      <w:bookmarkEnd w:id="1"/>
      <w:r>
        <w:rPr>
          <w:rFonts w:hint="eastAsia" w:ascii="仿宋" w:hAnsi="仿宋" w:eastAsia="仿宋" w:cs="仿宋"/>
          <w:color w:val="343233"/>
          <w:kern w:val="0"/>
          <w:sz w:val="32"/>
          <w:szCs w:val="32"/>
        </w:rPr>
        <w:t>月1日</w:t>
      </w:r>
    </w:p>
    <w:p w14:paraId="533CB3E2"/>
    <w:sectPr>
      <w:pgSz w:w="11906" w:h="16838"/>
      <w:pgMar w:top="1701" w:right="1587" w:bottom="1587" w:left="1587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9271E8"/>
    <w:multiLevelType w:val="singleLevel"/>
    <w:tmpl w:val="D79271E8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240FA17"/>
    <w:multiLevelType w:val="singleLevel"/>
    <w:tmpl w:val="F240FA1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BEC36CD"/>
    <w:multiLevelType w:val="singleLevel"/>
    <w:tmpl w:val="1BEC36C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M2MzY5OWVmYjdmODE5ZWNmNzZmZDdmMjM3ZDBjZmUifQ=="/>
  </w:docVars>
  <w:rsids>
    <w:rsidRoot w:val="005F0E82"/>
    <w:rsid w:val="005F0E82"/>
    <w:rsid w:val="006E55F7"/>
    <w:rsid w:val="4D19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hnsjw</Company>
  <Pages>7</Pages>
  <Words>3199</Words>
  <Characters>3382</Characters>
  <Lines>25</Lines>
  <Paragraphs>7</Paragraphs>
  <TotalTime>2</TotalTime>
  <ScaleCrop>false</ScaleCrop>
  <LinksUpToDate>false</LinksUpToDate>
  <CharactersWithSpaces>3443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2024-10-16T08:36:00Z</dcterms:created>
  <dc:creator>Micorosoft</dc:creator>
  <cp:lastModifiedBy>Administrator</cp:lastModifiedBy>
  <dcterms:modified xsi:type="dcterms:W3CDTF">2024-10-17T01:07:48Z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ED0970F0BFB241EEAF57C4F378CE4749_12</vt:lpwstr>
  </property>
</Properties>
</file>