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74FB3">
      <w:pPr>
        <w:jc w:val="center"/>
        <w:rPr>
          <w:sz w:val="44"/>
          <w:szCs w:val="44"/>
        </w:rPr>
      </w:pPr>
      <w:r>
        <w:rPr>
          <w:sz w:val="44"/>
          <w:szCs w:val="44"/>
        </w:rPr>
        <w:t>部门整体支出绩效自评报告</w:t>
      </w:r>
    </w:p>
    <w:p w14:paraId="7043E9A7">
      <w:pPr>
        <w:ind w:firstLine="640" w:firstLineChars="20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</w:rPr>
        <w:t>一、部门、单位基本情况</w:t>
      </w:r>
    </w:p>
    <w:p w14:paraId="35B64D72">
      <w:pPr>
        <w:ind w:firstLine="640" w:firstLineChars="20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</w:rPr>
        <w:t>（一）机构设置情况</w:t>
      </w:r>
    </w:p>
    <w:p w14:paraId="23BC98A2">
      <w:pPr>
        <w:ind w:firstLine="640" w:firstLineChars="200"/>
        <w:rPr>
          <w:rFonts w:hint="eastAsia" w:ascii="仿宋_GB2312" w:hAnsi="仿宋" w:eastAsia="仿宋_GB2312"/>
          <w:sz w:val="32"/>
          <w:szCs w:val="32"/>
          <w:vertAlign w:val="superscript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vertAlign w:val="superscript"/>
        </w:rPr>
        <w:t>现有设有</w:t>
      </w:r>
      <w:r>
        <w:rPr>
          <w:rFonts w:hint="eastAsia" w:ascii="仿宋_GB2312" w:hAnsi="仿宋" w:eastAsia="仿宋_GB2312"/>
          <w:sz w:val="32"/>
          <w:szCs w:val="32"/>
          <w:vertAlign w:val="superscript"/>
          <w:lang w:val="en-US" w:eastAsia="zh-CN"/>
        </w:rPr>
        <w:t>科技馆</w:t>
      </w:r>
      <w:bookmarkStart w:id="0" w:name="_GoBack"/>
      <w:bookmarkEnd w:id="0"/>
    </w:p>
    <w:p w14:paraId="0E0D4D90">
      <w:pPr>
        <w:ind w:firstLine="640" w:firstLineChars="20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</w:rPr>
        <w:t>（二）人员编制情况</w:t>
      </w:r>
    </w:p>
    <w:p w14:paraId="3D138C39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  <w:vertAlign w:val="superscript"/>
        </w:rPr>
      </w:pPr>
      <w:r>
        <w:rPr>
          <w:rFonts w:hint="eastAsia" w:ascii="仿宋_GB2312" w:hAnsi="仿宋" w:eastAsia="仿宋_GB2312"/>
          <w:sz w:val="32"/>
          <w:szCs w:val="32"/>
          <w:vertAlign w:val="superscript"/>
        </w:rPr>
        <w:t>现有行政编制人员</w:t>
      </w:r>
      <w:r>
        <w:rPr>
          <w:rFonts w:hint="eastAsia" w:ascii="仿宋_GB2312" w:hAnsi="仿宋" w:eastAsia="仿宋_GB2312"/>
          <w:sz w:val="32"/>
          <w:szCs w:val="32"/>
          <w:vertAlign w:val="superscript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  <w:vertAlign w:val="superscript"/>
        </w:rPr>
        <w:t>个，全额拨款事业编制2个，实有在职人数</w:t>
      </w:r>
      <w:r>
        <w:rPr>
          <w:rFonts w:hint="eastAsia" w:ascii="仿宋_GB2312" w:hAnsi="仿宋" w:eastAsia="仿宋_GB2312"/>
          <w:sz w:val="32"/>
          <w:szCs w:val="32"/>
          <w:vertAlign w:val="superscript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vertAlign w:val="superscript"/>
        </w:rPr>
        <w:t>人，</w:t>
      </w:r>
      <w:r>
        <w:rPr>
          <w:rFonts w:hint="eastAsia" w:ascii="仿宋_GB2312" w:eastAsia="仿宋_GB2312"/>
          <w:sz w:val="32"/>
          <w:szCs w:val="32"/>
          <w:vertAlign w:val="superscript"/>
        </w:rPr>
        <w:t>退休人员4人，</w:t>
      </w:r>
      <w:r>
        <w:rPr>
          <w:rFonts w:hint="eastAsia" w:ascii="仿宋_GB2312" w:eastAsia="仿宋_GB2312"/>
          <w:color w:val="333333"/>
          <w:sz w:val="32"/>
          <w:szCs w:val="32"/>
          <w:vertAlign w:val="superscript"/>
        </w:rPr>
        <w:t>实有在职人数与编制数相等。</w:t>
      </w:r>
      <w:r>
        <w:rPr>
          <w:rFonts w:hint="eastAsia" w:ascii="仿宋_GB2312" w:eastAsia="仿宋_GB2312"/>
          <w:sz w:val="32"/>
          <w:szCs w:val="32"/>
          <w:vertAlign w:val="superscript"/>
        </w:rPr>
        <w:t>有科普大篷车1台</w:t>
      </w:r>
      <w:r>
        <w:rPr>
          <w:rFonts w:hint="eastAsia" w:ascii="仿宋_GB2312" w:eastAsia="仿宋_GB2312"/>
          <w:color w:val="333333"/>
          <w:sz w:val="32"/>
          <w:szCs w:val="32"/>
          <w:vertAlign w:val="superscript"/>
        </w:rPr>
        <w:t>。</w:t>
      </w:r>
    </w:p>
    <w:p w14:paraId="12FC25FC">
      <w:pPr>
        <w:ind w:firstLine="640" w:firstLineChars="20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</w:rPr>
        <w:t>（三）主要职能职责</w:t>
      </w:r>
    </w:p>
    <w:p w14:paraId="46611857">
      <w:pPr>
        <w:shd w:val="clear" w:color="auto" w:fill="FFFFFF"/>
        <w:spacing w:line="330" w:lineRule="atLeast"/>
        <w:ind w:firstLine="64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</w:rPr>
        <w:t>主要职责：</w:t>
      </w:r>
      <w:r>
        <w:rPr>
          <w:rFonts w:hint="eastAsia" w:ascii="仿宋_GB2312" w:eastAsia="仿宋_GB2312"/>
          <w:color w:val="333333"/>
          <w:sz w:val="32"/>
          <w:szCs w:val="32"/>
          <w:vertAlign w:val="superscript"/>
        </w:rPr>
        <w:t>1、弘扬科学精神，普及科学技术知识，传播科学思想和科学方法，捍卫科学尊严，推广先进技术，开展对青少年科学技术教育活动，提高全民的科学文化素质；2、负责全县性学会的业务主管及挂靠单位的协调、联络；3、反映科技工作者的意见和要求，维护科技工作者的合法权益，为科技团体和科技工作者服务； 4、负责表彰奖励优秀科技工作者的有关工作，向有关部门推荐优秀人才；5、开展民间科技交流活动，发展科技团体和科技工作者的友好往来；6、承办县委、县政府交办的其他事项</w:t>
      </w:r>
      <w:r>
        <w:rPr>
          <w:rFonts w:hint="eastAsia" w:ascii="仿宋_GB2312" w:eastAsia="仿宋_GB2312"/>
          <w:color w:val="000000"/>
          <w:sz w:val="32"/>
          <w:szCs w:val="32"/>
          <w:vertAlign w:val="superscript"/>
        </w:rPr>
        <w:t>。</w:t>
      </w:r>
    </w:p>
    <w:p w14:paraId="69FBF568">
      <w:pPr>
        <w:ind w:firstLine="640" w:firstLineChars="20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</w:rPr>
        <w:t>（四）绩效目标设定情况</w:t>
      </w:r>
    </w:p>
    <w:p w14:paraId="7647983F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  <w:vertAlign w:val="superscript"/>
        </w:rPr>
      </w:pPr>
      <w:r>
        <w:rPr>
          <w:rFonts w:hint="eastAsia" w:ascii="仿宋_GB2312" w:eastAsia="仿宋_GB2312"/>
          <w:bCs/>
          <w:color w:val="333333"/>
          <w:sz w:val="32"/>
          <w:szCs w:val="32"/>
          <w:vertAlign w:val="superscript"/>
        </w:rPr>
        <w:t>主要工作任务及目标是</w:t>
      </w:r>
      <w:r>
        <w:rPr>
          <w:rFonts w:hint="eastAsia" w:ascii="仿宋_GB2312" w:eastAsia="仿宋_GB2312"/>
          <w:color w:val="333333"/>
          <w:sz w:val="32"/>
          <w:szCs w:val="32"/>
          <w:vertAlign w:val="superscript"/>
        </w:rPr>
        <w:t>：</w:t>
      </w:r>
      <w:r>
        <w:rPr>
          <w:rFonts w:hint="eastAsia" w:ascii="仿宋_GB2312" w:eastAsia="仿宋_GB2312"/>
          <w:color w:val="000000"/>
          <w:sz w:val="32"/>
          <w:szCs w:val="32"/>
          <w:vertAlign w:val="superscript"/>
        </w:rPr>
        <w:t>1.以大篷车进校园活动、“三下乡”活动、全国科普日活动、科普公益大讲堂等主题科普活动为载体，通过贴近实际、贴近生活、贴近群众的科普宣传，稳步扩大科普活动的吸引力和科协工作的影响力。2. 加强与县教育、科技等部门的合作，积极指导全县青少年创作科技作品参加各类青少年科技比赛活动，使他们在竞赛中找差距、长见识、练本领，达到以赛促练、以练促学的目的。3.加强项目支撑，全力做好基层科普行动计划项目、科普阵地建设项目的培育、包装、推荐、申报等工作，为基层组织争取项目和资金支持。</w:t>
      </w:r>
    </w:p>
    <w:p w14:paraId="33E41CD2">
      <w:pPr>
        <w:pStyle w:val="20"/>
        <w:numPr>
          <w:ilvl w:val="0"/>
          <w:numId w:val="1"/>
        </w:numPr>
        <w:spacing w:line="560" w:lineRule="exact"/>
        <w:rPr>
          <w:rFonts w:ascii="仿宋_GB2312" w:eastAsia="仿宋_GB2312"/>
          <w:color w:val="000000"/>
          <w:sz w:val="32"/>
          <w:szCs w:val="32"/>
          <w:vertAlign w:val="superscript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vertAlign w:val="superscript"/>
          <w:lang w:eastAsia="zh-CN"/>
        </w:rPr>
        <w:t>部门整体支出管理及使用情况</w:t>
      </w:r>
    </w:p>
    <w:p w14:paraId="50B0BD96">
      <w:pPr>
        <w:pStyle w:val="20"/>
        <w:spacing w:line="560" w:lineRule="exact"/>
        <w:ind w:left="0" w:firstLine="640" w:firstLineChars="200"/>
        <w:rPr>
          <w:rFonts w:ascii="仿宋_GB2312" w:eastAsia="仿宋_GB2312"/>
          <w:color w:val="000000"/>
          <w:sz w:val="32"/>
          <w:szCs w:val="32"/>
          <w:vertAlign w:val="superscript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vertAlign w:val="superscript"/>
          <w:lang w:eastAsia="zh-CN"/>
        </w:rPr>
        <w:t>（一）预算执行、使用、管理总体情况</w:t>
      </w:r>
    </w:p>
    <w:p w14:paraId="27619D0E">
      <w:pPr>
        <w:ind w:firstLine="640" w:firstLineChars="200"/>
        <w:rPr>
          <w:rFonts w:ascii="仿宋_GB2312" w:hAnsi="仿宋" w:eastAsia="仿宋_GB2312" w:cs="仿宋"/>
          <w:sz w:val="32"/>
          <w:szCs w:val="32"/>
          <w:vertAlign w:val="superscript"/>
        </w:rPr>
      </w:pPr>
      <w:r>
        <w:rPr>
          <w:rFonts w:hint="eastAsia" w:ascii="仿宋_GB2312" w:eastAsia="仿宋_GB2312"/>
          <w:color w:val="000000"/>
          <w:sz w:val="32"/>
          <w:szCs w:val="32"/>
          <w:vertAlign w:val="superscript"/>
          <w:lang w:eastAsia="zh-CN"/>
        </w:rPr>
        <w:t xml:space="preserve"> 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</w:rPr>
        <w:t>县本级安排县科协预算收入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  <w:lang w:val="en-US" w:eastAsia="zh-CN"/>
        </w:rPr>
        <w:t>80.97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</w:rPr>
        <w:t>万元。</w:t>
      </w:r>
      <w:r>
        <w:rPr>
          <w:rFonts w:hint="eastAsia" w:ascii="仿宋_GB2312" w:hAnsi="楷体" w:eastAsia="仿宋_GB2312"/>
          <w:sz w:val="32"/>
          <w:szCs w:val="32"/>
          <w:vertAlign w:val="superscript"/>
        </w:rPr>
        <w:t xml:space="preserve"> 其中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</w:rPr>
        <w:t>基本支出收入72.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  <w:lang w:val="en-US" w:eastAsia="zh-CN"/>
        </w:rPr>
        <w:t>23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</w:rPr>
        <w:t>万元，占县本级年初预算安排收入的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  <w:lang w:val="en-US" w:eastAsia="zh-CN"/>
        </w:rPr>
        <w:t>89.2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</w:rPr>
        <w:t>%（工资福利性支出62.63万元、公用经费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  <w:lang w:val="en-US" w:eastAsia="zh-CN"/>
        </w:rPr>
        <w:t>9.6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</w:rPr>
        <w:t>万元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  <w:lang w:eastAsia="zh-CN"/>
        </w:rPr>
        <w:t>、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</w:rPr>
        <w:t>）。项目支出6.4万元，占县本级年初预算安排收入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  <w:lang w:val="en-US" w:eastAsia="zh-CN"/>
        </w:rPr>
        <w:t>7.9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</w:rPr>
        <w:t>%，主要围绕</w:t>
      </w:r>
      <w:r>
        <w:rPr>
          <w:rFonts w:hint="eastAsia" w:ascii="仿宋_GB2312" w:eastAsia="仿宋_GB2312"/>
          <w:sz w:val="32"/>
          <w:szCs w:val="32"/>
          <w:vertAlign w:val="superscript"/>
        </w:rPr>
        <w:t>科普</w:t>
      </w:r>
      <w:r>
        <w:rPr>
          <w:rFonts w:hint="eastAsia" w:ascii="仿宋_GB2312" w:eastAsia="仿宋_GB2312"/>
          <w:sz w:val="32"/>
          <w:szCs w:val="32"/>
          <w:vertAlign w:val="superscript"/>
          <w:lang w:val="en-US" w:eastAsia="zh-CN"/>
        </w:rPr>
        <w:t>宣传</w:t>
      </w:r>
      <w:r>
        <w:rPr>
          <w:rFonts w:hint="eastAsia" w:ascii="仿宋_GB2312" w:eastAsia="仿宋_GB2312"/>
          <w:sz w:val="32"/>
          <w:szCs w:val="32"/>
          <w:vertAlign w:val="superscript"/>
        </w:rPr>
        <w:t>工作进行安排</w:t>
      </w:r>
      <w:r>
        <w:rPr>
          <w:rFonts w:hint="eastAsia" w:ascii="仿宋_GB2312" w:hAnsi="仿宋" w:eastAsia="仿宋_GB2312" w:cs="仿宋"/>
          <w:spacing w:val="-20"/>
          <w:sz w:val="32"/>
          <w:szCs w:val="32"/>
          <w:vertAlign w:val="superscript"/>
        </w:rPr>
        <w:t>。</w:t>
      </w:r>
      <w:r>
        <w:rPr>
          <w:rFonts w:hint="eastAsia" w:ascii="仿宋_GB2312" w:eastAsia="仿宋_GB2312"/>
          <w:sz w:val="32"/>
          <w:szCs w:val="32"/>
          <w:vertAlign w:val="superscript"/>
        </w:rPr>
        <w:t>对个人和家庭的补助2.34万元，占全年收入</w:t>
      </w:r>
      <w:r>
        <w:rPr>
          <w:rFonts w:hint="eastAsia" w:ascii="仿宋_GB2312" w:eastAsia="仿宋_GB2312"/>
          <w:sz w:val="32"/>
          <w:szCs w:val="32"/>
          <w:vertAlign w:val="superscript"/>
          <w:lang w:val="en-US" w:eastAsia="zh-CN"/>
        </w:rPr>
        <w:t>2.9</w:t>
      </w:r>
      <w:r>
        <w:rPr>
          <w:rFonts w:hint="eastAsia" w:ascii="仿宋_GB2312" w:eastAsia="仿宋_GB2312"/>
          <w:sz w:val="32"/>
          <w:szCs w:val="32"/>
          <w:vertAlign w:val="superscript"/>
        </w:rPr>
        <w:t>%。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</w:rPr>
        <w:t>基本能够保障县科协履行主要工作职责。</w:t>
      </w:r>
    </w:p>
    <w:p w14:paraId="44C8FF62">
      <w:pPr>
        <w:ind w:firstLine="640" w:firstLineChars="200"/>
        <w:rPr>
          <w:rFonts w:ascii="仿宋_GB2312" w:hAnsi="仿宋" w:eastAsia="仿宋_GB2312" w:cs="仿宋"/>
          <w:sz w:val="32"/>
          <w:szCs w:val="32"/>
          <w:vertAlign w:val="superscript"/>
        </w:rPr>
      </w:pPr>
      <w:r>
        <w:rPr>
          <w:rFonts w:hint="eastAsia" w:ascii="仿宋_GB2312" w:hAnsi="仿宋" w:eastAsia="仿宋_GB2312"/>
          <w:sz w:val="32"/>
          <w:szCs w:val="32"/>
          <w:vertAlign w:val="superscript"/>
        </w:rPr>
        <w:t>202</w:t>
      </w:r>
      <w:r>
        <w:rPr>
          <w:rFonts w:hint="eastAsia" w:ascii="仿宋_GB2312" w:hAnsi="仿宋" w:eastAsia="仿宋_GB2312"/>
          <w:sz w:val="32"/>
          <w:szCs w:val="32"/>
          <w:vertAlign w:val="superscript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vertAlign w:val="superscript"/>
        </w:rPr>
        <w:t>年度“三公经费”预算</w:t>
      </w:r>
      <w:r>
        <w:rPr>
          <w:rFonts w:hint="eastAsia" w:ascii="仿宋_GB2312" w:hAnsi="仿宋" w:eastAsia="仿宋_GB2312"/>
          <w:sz w:val="32"/>
          <w:szCs w:val="32"/>
          <w:vertAlign w:val="superscript"/>
          <w:lang w:val="en-US" w:eastAsia="zh-CN"/>
        </w:rPr>
        <w:t>2.5</w:t>
      </w:r>
      <w:r>
        <w:rPr>
          <w:rFonts w:hint="eastAsia" w:ascii="仿宋_GB2312" w:hAnsi="仿宋" w:eastAsia="仿宋_GB2312"/>
          <w:sz w:val="32"/>
          <w:szCs w:val="32"/>
          <w:vertAlign w:val="superscript"/>
        </w:rPr>
        <w:t>万元，其中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</w:rPr>
        <w:t>公务接待费为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  <w:lang w:val="en-US" w:eastAsia="zh-CN"/>
        </w:rPr>
        <w:t>1.5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</w:rPr>
        <w:t>万元、公务用车购置及运行维护费为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  <w:lang w:val="en-US" w:eastAsia="zh-CN"/>
        </w:rPr>
        <w:t>1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</w:rPr>
        <w:t>万元。</w:t>
      </w:r>
    </w:p>
    <w:p w14:paraId="6A763841">
      <w:pPr>
        <w:pStyle w:val="20"/>
        <w:numPr>
          <w:ilvl w:val="0"/>
          <w:numId w:val="2"/>
        </w:numPr>
        <w:rPr>
          <w:rFonts w:ascii="仿宋_GB2312" w:hAnsi="仿宋" w:eastAsia="仿宋_GB2312" w:cs="仿宋"/>
          <w:sz w:val="32"/>
          <w:szCs w:val="32"/>
          <w:vertAlign w:val="superscript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vertAlign w:val="superscript"/>
          <w:lang w:eastAsia="zh-CN"/>
        </w:rPr>
        <w:t>部门预算执行情况</w:t>
      </w:r>
    </w:p>
    <w:p w14:paraId="28A7AA14">
      <w:pPr>
        <w:pStyle w:val="20"/>
        <w:numPr>
          <w:ilvl w:val="1"/>
          <w:numId w:val="2"/>
        </w:numPr>
        <w:rPr>
          <w:rFonts w:ascii="仿宋_GB2312" w:hAnsi="仿宋" w:eastAsia="仿宋_GB2312" w:cs="仿宋"/>
          <w:sz w:val="32"/>
          <w:szCs w:val="32"/>
          <w:vertAlign w:val="superscript"/>
        </w:rPr>
      </w:pPr>
      <w:r>
        <w:rPr>
          <w:rFonts w:hint="eastAsia" w:ascii="仿宋_GB2312" w:hAnsi="仿宋" w:eastAsia="仿宋_GB2312" w:cs="仿宋"/>
          <w:sz w:val="32"/>
          <w:szCs w:val="32"/>
          <w:vertAlign w:val="superscript"/>
        </w:rPr>
        <w:t>基本支出情况</w:t>
      </w:r>
    </w:p>
    <w:p w14:paraId="732FE24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</w:rPr>
        <w:t>工资福利性支出62.63万元，占全年收入</w:t>
      </w:r>
      <w:r>
        <w:rPr>
          <w:rFonts w:hint="eastAsia" w:ascii="仿宋_GB2312" w:eastAsia="仿宋_GB2312"/>
          <w:sz w:val="32"/>
          <w:szCs w:val="32"/>
          <w:vertAlign w:val="superscript"/>
          <w:lang w:val="en-US" w:eastAsia="zh-CN"/>
        </w:rPr>
        <w:t>77.3</w:t>
      </w:r>
      <w:r>
        <w:rPr>
          <w:rFonts w:hint="eastAsia" w:ascii="仿宋_GB2312" w:eastAsia="仿宋_GB2312"/>
          <w:sz w:val="32"/>
          <w:szCs w:val="32"/>
          <w:vertAlign w:val="superscript"/>
        </w:rPr>
        <w:t>%，其中基本工资31.83万元、津贴补贴15.6万元、机关事业单位养老保险缴费5.6万元、职工医疗保险2.8万元、其他社会保障缴费2.1万元、住房公积金1.5万元、绩效工资3.2万元。</w:t>
      </w:r>
    </w:p>
    <w:p w14:paraId="09B085F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</w:rPr>
        <w:t>公用经费支出</w:t>
      </w:r>
      <w:r>
        <w:rPr>
          <w:rFonts w:hint="eastAsia" w:ascii="仿宋_GB2312" w:eastAsia="仿宋_GB2312"/>
          <w:sz w:val="32"/>
          <w:szCs w:val="32"/>
          <w:vertAlign w:val="superscript"/>
          <w:lang w:val="en-US" w:eastAsia="zh-CN"/>
        </w:rPr>
        <w:t>9.6</w:t>
      </w:r>
      <w:r>
        <w:rPr>
          <w:rFonts w:hint="eastAsia" w:ascii="仿宋_GB2312" w:eastAsia="仿宋_GB2312"/>
          <w:sz w:val="32"/>
          <w:szCs w:val="32"/>
          <w:vertAlign w:val="superscript"/>
        </w:rPr>
        <w:t>万元，占全年收入</w:t>
      </w:r>
      <w:r>
        <w:rPr>
          <w:rFonts w:hint="eastAsia" w:ascii="仿宋_GB2312" w:eastAsia="仿宋_GB2312"/>
          <w:sz w:val="32"/>
          <w:szCs w:val="32"/>
          <w:vertAlign w:val="superscript"/>
          <w:lang w:val="en-US" w:eastAsia="zh-CN"/>
        </w:rPr>
        <w:t>11.9</w:t>
      </w:r>
      <w:r>
        <w:rPr>
          <w:rFonts w:hint="eastAsia" w:ascii="仿宋_GB2312" w:eastAsia="仿宋_GB2312"/>
          <w:sz w:val="32"/>
          <w:szCs w:val="32"/>
          <w:vertAlign w:val="superscript"/>
        </w:rPr>
        <w:t>%，其中办公费</w:t>
      </w:r>
      <w:r>
        <w:rPr>
          <w:rFonts w:hint="eastAsia" w:ascii="仿宋_GB2312" w:eastAsia="仿宋_GB2312"/>
          <w:sz w:val="32"/>
          <w:szCs w:val="32"/>
          <w:vertAlign w:val="superscript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vertAlign w:val="superscript"/>
        </w:rPr>
        <w:t>万元、水费0.5万元、电费</w:t>
      </w:r>
      <w:r>
        <w:rPr>
          <w:rFonts w:hint="eastAsia" w:ascii="仿宋_GB2312" w:eastAsia="仿宋_GB2312"/>
          <w:sz w:val="32"/>
          <w:szCs w:val="32"/>
          <w:vertAlign w:val="superscript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vertAlign w:val="superscript"/>
        </w:rPr>
        <w:t>万元、公务接</w:t>
      </w:r>
      <w:r>
        <w:rPr>
          <w:rFonts w:hint="eastAsia" w:ascii="仿宋_GB2312" w:eastAsia="仿宋_GB2312"/>
          <w:sz w:val="32"/>
          <w:szCs w:val="32"/>
          <w:vertAlign w:val="superscript"/>
          <w:lang w:val="en-US" w:eastAsia="zh-CN"/>
        </w:rPr>
        <w:t>1.5</w:t>
      </w:r>
      <w:r>
        <w:rPr>
          <w:rFonts w:hint="eastAsia" w:ascii="仿宋_GB2312" w:eastAsia="仿宋_GB2312"/>
          <w:sz w:val="32"/>
          <w:szCs w:val="32"/>
          <w:vertAlign w:val="superscript"/>
        </w:rPr>
        <w:t>万元、工会经费</w:t>
      </w:r>
      <w:r>
        <w:rPr>
          <w:rFonts w:hint="eastAsia" w:ascii="仿宋_GB2312" w:eastAsia="仿宋_GB2312"/>
          <w:sz w:val="32"/>
          <w:szCs w:val="32"/>
          <w:vertAlign w:val="superscript"/>
          <w:lang w:val="en-US" w:eastAsia="zh-CN"/>
        </w:rPr>
        <w:t>1.6</w:t>
      </w:r>
      <w:r>
        <w:rPr>
          <w:rFonts w:hint="eastAsia" w:ascii="仿宋_GB2312" w:eastAsia="仿宋_GB2312"/>
          <w:sz w:val="32"/>
          <w:szCs w:val="32"/>
          <w:vertAlign w:val="superscript"/>
        </w:rPr>
        <w:t>万元、公务车运行维护费</w:t>
      </w:r>
      <w:r>
        <w:rPr>
          <w:rFonts w:hint="eastAsia" w:ascii="仿宋_GB2312" w:eastAsia="仿宋_GB2312"/>
          <w:sz w:val="32"/>
          <w:szCs w:val="32"/>
          <w:vertAlign w:val="superscript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vertAlign w:val="superscript"/>
        </w:rPr>
        <w:t>万元。</w:t>
      </w:r>
    </w:p>
    <w:p w14:paraId="79790F6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</w:rPr>
        <w:t>对个人和家庭的补助2.34万元，占全年收入</w:t>
      </w:r>
      <w:r>
        <w:rPr>
          <w:rFonts w:hint="eastAsia" w:ascii="仿宋_GB2312" w:eastAsia="仿宋_GB2312"/>
          <w:sz w:val="32"/>
          <w:szCs w:val="32"/>
          <w:vertAlign w:val="superscript"/>
          <w:lang w:val="en-US" w:eastAsia="zh-CN"/>
        </w:rPr>
        <w:t>2.9</w:t>
      </w:r>
      <w:r>
        <w:rPr>
          <w:rFonts w:hint="eastAsia" w:ascii="仿宋_GB2312" w:eastAsia="仿宋_GB2312"/>
          <w:sz w:val="32"/>
          <w:szCs w:val="32"/>
          <w:vertAlign w:val="superscript"/>
        </w:rPr>
        <w:t>%。其中生活补助2.34万元、奖励金0万元、个人农业生产补贴0万元。</w:t>
      </w:r>
    </w:p>
    <w:p w14:paraId="16BC0854">
      <w:pPr>
        <w:pStyle w:val="20"/>
        <w:numPr>
          <w:ilvl w:val="1"/>
          <w:numId w:val="2"/>
        </w:numPr>
        <w:spacing w:line="560" w:lineRule="exact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</w:rPr>
        <w:t>项目支出情况。</w:t>
      </w:r>
    </w:p>
    <w:p w14:paraId="5381461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</w:rPr>
        <w:t>科普活动开展6.4万元，占全年收入</w:t>
      </w:r>
      <w:r>
        <w:rPr>
          <w:rFonts w:hint="eastAsia" w:ascii="仿宋_GB2312" w:eastAsia="仿宋_GB2312"/>
          <w:sz w:val="32"/>
          <w:szCs w:val="32"/>
          <w:vertAlign w:val="superscript"/>
          <w:lang w:val="en-US" w:eastAsia="zh-CN"/>
        </w:rPr>
        <w:t>7.9</w:t>
      </w:r>
      <w:r>
        <w:rPr>
          <w:rFonts w:hint="eastAsia" w:ascii="仿宋_GB2312" w:eastAsia="仿宋_GB2312"/>
          <w:sz w:val="32"/>
          <w:szCs w:val="32"/>
          <w:vertAlign w:val="superscript"/>
        </w:rPr>
        <w:t>%，其中书籍3.6万元，宣传折页0.4万元，宣传手册2.4万元。</w:t>
      </w:r>
    </w:p>
    <w:p w14:paraId="129036D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vertAlign w:val="superscript"/>
          <w:lang w:eastAsia="zh-CN"/>
        </w:rPr>
      </w:pPr>
      <w:r>
        <w:rPr>
          <w:rFonts w:hint="eastAsia" w:ascii="仿宋_GB2312" w:eastAsia="仿宋_GB2312"/>
          <w:sz w:val="32"/>
          <w:szCs w:val="32"/>
          <w:vertAlign w:val="superscript"/>
          <w:lang w:eastAsia="zh-CN"/>
        </w:rPr>
        <w:t>（三）“三公”经费使用和管理情况</w:t>
      </w:r>
    </w:p>
    <w:p w14:paraId="75E48F81">
      <w:pPr>
        <w:pStyle w:val="22"/>
        <w:ind w:firstLine="640"/>
        <w:rPr>
          <w:rFonts w:ascii="仿宋_GB2312" w:hAnsi="仿宋" w:eastAsia="仿宋_GB2312"/>
          <w:sz w:val="32"/>
          <w:szCs w:val="32"/>
          <w:vertAlign w:val="superscript"/>
        </w:rPr>
      </w:pPr>
      <w:r>
        <w:rPr>
          <w:rFonts w:hint="eastAsia" w:ascii="仿宋_GB2312" w:hAnsi="仿宋" w:eastAsia="仿宋_GB2312"/>
          <w:sz w:val="32"/>
          <w:szCs w:val="32"/>
          <w:vertAlign w:val="superscript"/>
        </w:rPr>
        <w:t>没有因公出国（境）人员；公务接待费支出</w:t>
      </w:r>
      <w:r>
        <w:rPr>
          <w:rFonts w:hint="eastAsia" w:ascii="仿宋_GB2312" w:hAnsi="仿宋" w:eastAsia="仿宋_GB2312"/>
          <w:sz w:val="32"/>
          <w:szCs w:val="32"/>
          <w:vertAlign w:val="superscript"/>
          <w:lang w:val="en-US" w:eastAsia="zh-CN"/>
        </w:rPr>
        <w:t>1.5</w:t>
      </w:r>
      <w:r>
        <w:rPr>
          <w:rFonts w:hint="eastAsia" w:ascii="仿宋_GB2312" w:hAnsi="仿宋" w:eastAsia="仿宋_GB2312"/>
          <w:sz w:val="32"/>
          <w:szCs w:val="32"/>
          <w:vertAlign w:val="superscript"/>
        </w:rPr>
        <w:t>万元；公务用车购置及运行维护费支出</w:t>
      </w:r>
      <w:r>
        <w:rPr>
          <w:rFonts w:hint="eastAsia" w:ascii="仿宋_GB2312" w:hAnsi="仿宋" w:eastAsia="仿宋_GB2312"/>
          <w:sz w:val="32"/>
          <w:szCs w:val="32"/>
          <w:vertAlign w:val="superscript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vertAlign w:val="superscript"/>
        </w:rPr>
        <w:t>万元</w:t>
      </w:r>
      <w:r>
        <w:rPr>
          <w:rFonts w:hint="eastAsia" w:ascii="仿宋_GB2312" w:hAnsi="仿宋" w:eastAsia="仿宋_GB2312"/>
          <w:sz w:val="32"/>
          <w:szCs w:val="32"/>
          <w:vertAlign w:val="superscript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  <w:vertAlign w:val="superscript"/>
        </w:rPr>
        <w:t>。</w:t>
      </w:r>
    </w:p>
    <w:p w14:paraId="664006FA">
      <w:pPr>
        <w:pStyle w:val="22"/>
        <w:ind w:firstLine="64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hAnsi="仿宋" w:eastAsia="仿宋_GB2312"/>
          <w:sz w:val="32"/>
          <w:szCs w:val="32"/>
          <w:vertAlign w:val="superscript"/>
        </w:rPr>
        <w:t>三、政府性基金预算支出情况</w:t>
      </w:r>
    </w:p>
    <w:p w14:paraId="6BEA0E0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</w:rPr>
        <w:t>无政府性基金</w:t>
      </w:r>
    </w:p>
    <w:p w14:paraId="27185DC8">
      <w:pPr>
        <w:pStyle w:val="20"/>
        <w:numPr>
          <w:ilvl w:val="0"/>
          <w:numId w:val="3"/>
        </w:numPr>
        <w:spacing w:line="560" w:lineRule="exact"/>
        <w:rPr>
          <w:rFonts w:ascii="仿宋_GB2312" w:eastAsia="仿宋_GB2312"/>
          <w:sz w:val="32"/>
          <w:szCs w:val="32"/>
          <w:vertAlign w:val="superscript"/>
          <w:lang w:eastAsia="zh-CN"/>
        </w:rPr>
      </w:pPr>
      <w:r>
        <w:rPr>
          <w:rFonts w:hint="eastAsia" w:ascii="仿宋_GB2312" w:eastAsia="仿宋_GB2312"/>
          <w:sz w:val="32"/>
          <w:szCs w:val="32"/>
          <w:vertAlign w:val="superscript"/>
          <w:lang w:eastAsia="zh-CN"/>
        </w:rPr>
        <w:t>国有资本经营预算支出情况</w:t>
      </w:r>
    </w:p>
    <w:p w14:paraId="2549941A">
      <w:pPr>
        <w:spacing w:line="560" w:lineRule="exact"/>
        <w:ind w:left="72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</w:rPr>
        <w:t>无国有资本经营</w:t>
      </w:r>
    </w:p>
    <w:p w14:paraId="40BE1571">
      <w:pPr>
        <w:spacing w:line="560" w:lineRule="exact"/>
        <w:ind w:firstLine="992" w:firstLineChars="310"/>
        <w:rPr>
          <w:rFonts w:ascii="仿宋_GB2312" w:eastAsia="仿宋_GB2312"/>
          <w:sz w:val="32"/>
          <w:szCs w:val="32"/>
          <w:vertAlign w:val="superscript"/>
          <w:lang w:eastAsia="zh-CN"/>
        </w:rPr>
      </w:pPr>
      <w:r>
        <w:rPr>
          <w:rFonts w:hint="eastAsia" w:ascii="仿宋_GB2312" w:eastAsia="仿宋_GB2312"/>
          <w:sz w:val="32"/>
          <w:szCs w:val="32"/>
          <w:vertAlign w:val="superscript"/>
          <w:lang w:eastAsia="zh-CN"/>
        </w:rPr>
        <w:t>五、社会保险基金预算支出情况</w:t>
      </w:r>
    </w:p>
    <w:p w14:paraId="0262B444">
      <w:pPr>
        <w:spacing w:line="560" w:lineRule="exact"/>
        <w:ind w:left="567" w:firstLine="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</w:rPr>
        <w:t>无社会保险基金</w:t>
      </w:r>
    </w:p>
    <w:p w14:paraId="4396F0F9">
      <w:pPr>
        <w:spacing w:line="560" w:lineRule="exact"/>
        <w:ind w:firstLine="992" w:firstLineChars="31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  <w:lang w:eastAsia="zh-CN"/>
        </w:rPr>
        <w:t>六、</w:t>
      </w:r>
      <w:r>
        <w:rPr>
          <w:rFonts w:hint="eastAsia" w:ascii="仿宋_GB2312" w:eastAsia="仿宋_GB2312"/>
          <w:sz w:val="32"/>
          <w:szCs w:val="32"/>
          <w:vertAlign w:val="superscript"/>
        </w:rPr>
        <w:t>部门整体支出绩效情况</w:t>
      </w:r>
    </w:p>
    <w:p w14:paraId="4AB60D62">
      <w:pPr>
        <w:ind w:firstLine="992" w:firstLineChars="310"/>
        <w:rPr>
          <w:rFonts w:ascii="仿宋_GB2312" w:hAnsi="仿宋" w:eastAsia="仿宋_GB2312"/>
          <w:sz w:val="32"/>
          <w:szCs w:val="32"/>
          <w:vertAlign w:val="superscript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vertAlign w:val="superscript"/>
          <w:lang w:eastAsia="zh-CN"/>
        </w:rPr>
        <w:t>评价指标分析（或综合评价情况）</w:t>
      </w:r>
    </w:p>
    <w:p w14:paraId="6D311481">
      <w:pPr>
        <w:ind w:firstLine="640" w:firstLineChars="200"/>
        <w:rPr>
          <w:rFonts w:hint="eastAsia"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  <w:lang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vertAlign w:val="superscript"/>
        </w:rPr>
        <w:t>1、加大科普宣传力度，围绕提高全民科学素质，精心制作科普展板，编印科普读物，深入农村、社区、学校开展了文化科技卫生“三下乡”活动、科技活动周、全国科普日等常规科普活动，通过悬挂标语横幅、摆放宣传展板、发放科普书籍和手册、提供现场咨询服务等多种形式，进行科技法律法规、林业生产技术、疫情防控、食品安全、知识产权、防范电信诈骗、健康生活常识等科普宣传和讲座，在全社会营造浓厚的科学氛围。县电视台坚持每周一期的《科普大篷车》电视专栏播放。</w:t>
      </w:r>
    </w:p>
    <w:p w14:paraId="194EA7E6">
      <w:pPr>
        <w:pStyle w:val="20"/>
        <w:numPr>
          <w:ilvl w:val="0"/>
          <w:numId w:val="4"/>
        </w:numPr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bCs/>
          <w:sz w:val="32"/>
          <w:szCs w:val="32"/>
          <w:vertAlign w:val="superscript"/>
          <w:lang w:eastAsia="zh-CN"/>
        </w:rPr>
        <w:t>以竞赛为动力，提升全民科学素质。</w:t>
      </w:r>
      <w:r>
        <w:rPr>
          <w:rFonts w:hint="eastAsia" w:ascii="仿宋_GB2312" w:eastAsia="仿宋_GB2312"/>
          <w:sz w:val="32"/>
          <w:szCs w:val="32"/>
          <w:vertAlign w:val="superscript"/>
          <w:lang w:eastAsia="zh-CN"/>
        </w:rPr>
        <w:t>举办会同县青少年科技创新大赛，提升青少年科学素质。县科协联合</w:t>
      </w:r>
    </w:p>
    <w:p w14:paraId="761EE5E0">
      <w:pPr>
        <w:pStyle w:val="20"/>
        <w:numPr>
          <w:numId w:val="0"/>
        </w:numPr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  <w:lang w:eastAsia="zh-CN"/>
        </w:rPr>
        <w:t>县教育局等6个部门举办了全县青少年科技创新大赛，</w:t>
      </w:r>
      <w:r>
        <w:rPr>
          <w:rFonts w:hint="eastAsia" w:ascii="仿宋_GB2312" w:eastAsia="仿宋_GB2312"/>
          <w:sz w:val="32"/>
          <w:szCs w:val="32"/>
          <w:vertAlign w:val="superscript"/>
        </w:rPr>
        <w:t>积极组织和选送作品参加省、市青少年科技创新大赛</w:t>
      </w:r>
      <w:r>
        <w:rPr>
          <w:rFonts w:hint="eastAsia" w:ascii="仿宋_GB2312" w:eastAsia="仿宋_GB2312"/>
          <w:sz w:val="32"/>
          <w:szCs w:val="32"/>
          <w:vertAlign w:val="superscript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  <w:vertAlign w:val="superscript"/>
          <w:lang w:val="en-US" w:eastAsia="zh-CN"/>
        </w:rPr>
        <w:t>组织</w:t>
      </w:r>
      <w:r>
        <w:rPr>
          <w:rFonts w:hint="eastAsia" w:ascii="仿宋_GB2312" w:eastAsia="仿宋_GB2312"/>
          <w:sz w:val="32"/>
          <w:szCs w:val="32"/>
          <w:vertAlign w:val="superscript"/>
        </w:rPr>
        <w:t>参加全市机器人大赛。</w:t>
      </w:r>
    </w:p>
    <w:p w14:paraId="4F588E29">
      <w:pPr>
        <w:numPr>
          <w:ilvl w:val="0"/>
          <w:numId w:val="4"/>
        </w:numPr>
        <w:ind w:left="990" w:leftChars="0" w:hanging="360" w:firstLineChars="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bCs/>
          <w:sz w:val="32"/>
          <w:szCs w:val="32"/>
          <w:vertAlign w:val="superscript"/>
        </w:rPr>
        <w:t>以人才为切点，把科普服务落实处。</w:t>
      </w:r>
      <w:r>
        <w:rPr>
          <w:rFonts w:hint="eastAsia" w:ascii="仿宋_GB2312" w:eastAsia="仿宋_GB2312"/>
          <w:sz w:val="32"/>
          <w:szCs w:val="32"/>
          <w:vertAlign w:val="superscript"/>
        </w:rPr>
        <w:t>积极推进专家工作站建设，推荐会同科技能人参加省、市科协系统相</w:t>
      </w:r>
    </w:p>
    <w:p w14:paraId="344A928F">
      <w:pPr>
        <w:ind w:left="0" w:leftChars="0" w:firstLine="0" w:firstLineChars="0"/>
        <w:rPr>
          <w:rFonts w:ascii="仿宋_GB2312" w:eastAsia="仿宋_GB2312"/>
          <w:sz w:val="32"/>
          <w:szCs w:val="32"/>
          <w:vertAlign w:val="superscript"/>
        </w:rPr>
      </w:pPr>
      <w:r>
        <w:rPr>
          <w:rFonts w:hint="eastAsia" w:ascii="仿宋_GB2312" w:eastAsia="仿宋_GB2312"/>
          <w:sz w:val="32"/>
          <w:szCs w:val="32"/>
          <w:vertAlign w:val="superscript"/>
        </w:rPr>
        <w:t>关奖项评选。</w:t>
      </w:r>
    </w:p>
    <w:p w14:paraId="3B9F2D22">
      <w:pPr>
        <w:ind w:firstLine="5760" w:firstLineChars="1800"/>
        <w:rPr>
          <w:rFonts w:ascii="仿宋_GB2312" w:eastAsia="仿宋_GB2312"/>
          <w:sz w:val="32"/>
          <w:szCs w:val="32"/>
          <w:vertAlign w:val="superscript"/>
          <w:lang w:eastAsia="zh-CN"/>
        </w:rPr>
      </w:pPr>
      <w:r>
        <w:rPr>
          <w:rFonts w:hint="eastAsia" w:ascii="仿宋_GB2312" w:eastAsia="仿宋_GB2312"/>
          <w:sz w:val="32"/>
          <w:szCs w:val="32"/>
          <w:vertAlign w:val="superscript"/>
          <w:lang w:eastAsia="zh-CN"/>
        </w:rPr>
        <w:t>会同县科学技术协会</w:t>
      </w:r>
    </w:p>
    <w:p w14:paraId="2D63701A">
      <w:pPr>
        <w:ind w:left="567" w:firstLine="0"/>
        <w:rPr>
          <w:rFonts w:ascii="仿宋_GB2312" w:eastAsia="仿宋_GB2312"/>
          <w:sz w:val="32"/>
          <w:szCs w:val="32"/>
          <w:vertAlign w:val="superscript"/>
          <w:lang w:eastAsia="zh-CN"/>
        </w:rPr>
      </w:pPr>
      <w:r>
        <w:rPr>
          <w:rFonts w:hint="eastAsia" w:ascii="仿宋_GB2312" w:eastAsia="仿宋_GB2312"/>
          <w:sz w:val="32"/>
          <w:szCs w:val="32"/>
          <w:vertAlign w:val="superscript"/>
          <w:lang w:eastAsia="zh-CN"/>
        </w:rPr>
        <w:t xml:space="preserve">                                                                   2024年</w:t>
      </w:r>
      <w:r>
        <w:rPr>
          <w:rFonts w:hint="eastAsia" w:ascii="仿宋_GB2312" w:eastAsia="仿宋_GB2312"/>
          <w:sz w:val="32"/>
          <w:szCs w:val="32"/>
          <w:vertAlign w:val="superscript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vertAlign w:val="superscript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vertAlign w:val="superscript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  <w:vertAlign w:val="superscript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6E6FF2"/>
    <w:multiLevelType w:val="multilevel"/>
    <w:tmpl w:val="1B6E6FF2"/>
    <w:lvl w:ilvl="0" w:tentative="0">
      <w:start w:val="2"/>
      <w:numFmt w:val="decimal"/>
      <w:lvlText w:val="%1、"/>
      <w:lvlJc w:val="left"/>
      <w:pPr>
        <w:ind w:left="99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70" w:hanging="420"/>
      </w:pPr>
    </w:lvl>
    <w:lvl w:ilvl="2" w:tentative="0">
      <w:start w:val="1"/>
      <w:numFmt w:val="lowerRoman"/>
      <w:lvlText w:val="%3."/>
      <w:lvlJc w:val="right"/>
      <w:pPr>
        <w:ind w:left="1890" w:hanging="420"/>
      </w:pPr>
    </w:lvl>
    <w:lvl w:ilvl="3" w:tentative="0">
      <w:start w:val="1"/>
      <w:numFmt w:val="decimal"/>
      <w:lvlText w:val="%4."/>
      <w:lvlJc w:val="left"/>
      <w:pPr>
        <w:ind w:left="2310" w:hanging="420"/>
      </w:pPr>
    </w:lvl>
    <w:lvl w:ilvl="4" w:tentative="0">
      <w:start w:val="1"/>
      <w:numFmt w:val="lowerLetter"/>
      <w:lvlText w:val="%5)"/>
      <w:lvlJc w:val="left"/>
      <w:pPr>
        <w:ind w:left="2730" w:hanging="420"/>
      </w:pPr>
    </w:lvl>
    <w:lvl w:ilvl="5" w:tentative="0">
      <w:start w:val="1"/>
      <w:numFmt w:val="lowerRoman"/>
      <w:lvlText w:val="%6."/>
      <w:lvlJc w:val="right"/>
      <w:pPr>
        <w:ind w:left="3150" w:hanging="420"/>
      </w:pPr>
    </w:lvl>
    <w:lvl w:ilvl="6" w:tentative="0">
      <w:start w:val="1"/>
      <w:numFmt w:val="decimal"/>
      <w:lvlText w:val="%7."/>
      <w:lvlJc w:val="left"/>
      <w:pPr>
        <w:ind w:left="3570" w:hanging="420"/>
      </w:pPr>
    </w:lvl>
    <w:lvl w:ilvl="7" w:tentative="0">
      <w:start w:val="1"/>
      <w:numFmt w:val="lowerLetter"/>
      <w:lvlText w:val="%8)"/>
      <w:lvlJc w:val="left"/>
      <w:pPr>
        <w:ind w:left="3990" w:hanging="420"/>
      </w:pPr>
    </w:lvl>
    <w:lvl w:ilvl="8" w:tentative="0">
      <w:start w:val="1"/>
      <w:numFmt w:val="lowerRoman"/>
      <w:lvlText w:val="%9."/>
      <w:lvlJc w:val="right"/>
      <w:pPr>
        <w:ind w:left="4410" w:hanging="420"/>
      </w:pPr>
    </w:lvl>
  </w:abstractNum>
  <w:abstractNum w:abstractNumId="1">
    <w:nsid w:val="31BA7C4A"/>
    <w:multiLevelType w:val="multilevel"/>
    <w:tmpl w:val="31BA7C4A"/>
    <w:lvl w:ilvl="0" w:tentative="0">
      <w:start w:val="2"/>
      <w:numFmt w:val="japaneseCounting"/>
      <w:lvlText w:val="%1、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608E6465"/>
    <w:multiLevelType w:val="multilevel"/>
    <w:tmpl w:val="608E6465"/>
    <w:lvl w:ilvl="0" w:tentative="0">
      <w:start w:val="2"/>
      <w:numFmt w:val="japaneseCounting"/>
      <w:lvlText w:val="（%1）"/>
      <w:lvlJc w:val="left"/>
      <w:pPr>
        <w:ind w:left="1360" w:hanging="7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142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748C7F0C"/>
    <w:multiLevelType w:val="multilevel"/>
    <w:tmpl w:val="748C7F0C"/>
    <w:lvl w:ilvl="0" w:tentative="0">
      <w:start w:val="4"/>
      <w:numFmt w:val="japaneseCounting"/>
      <w:lvlText w:val="%1、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jNTI5ZDU4Y2QyYTIzYjA0YTI2Yjc4M2MzYWZlMmUifQ=="/>
  </w:docVars>
  <w:rsids>
    <w:rsidRoot w:val="0064272B"/>
    <w:rsid w:val="001150A7"/>
    <w:rsid w:val="001B5EE2"/>
    <w:rsid w:val="0021566F"/>
    <w:rsid w:val="004C456D"/>
    <w:rsid w:val="00505331"/>
    <w:rsid w:val="005E76FD"/>
    <w:rsid w:val="0064272B"/>
    <w:rsid w:val="00733660"/>
    <w:rsid w:val="007340F2"/>
    <w:rsid w:val="007620BE"/>
    <w:rsid w:val="008F712C"/>
    <w:rsid w:val="00915084"/>
    <w:rsid w:val="009A775E"/>
    <w:rsid w:val="00AB7B83"/>
    <w:rsid w:val="00AC7399"/>
    <w:rsid w:val="00BD4098"/>
    <w:rsid w:val="00C4046E"/>
    <w:rsid w:val="00C75CF1"/>
    <w:rsid w:val="00CF1DF3"/>
    <w:rsid w:val="00D570C5"/>
    <w:rsid w:val="00D65705"/>
    <w:rsid w:val="0A5C3F64"/>
    <w:rsid w:val="16003E31"/>
    <w:rsid w:val="362627BD"/>
    <w:rsid w:val="37C06287"/>
    <w:rsid w:val="5DC2567D"/>
    <w:rsid w:val="67EB45FF"/>
    <w:rsid w:val="6C1B5A1C"/>
    <w:rsid w:val="7216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360"/>
    </w:pPr>
    <w:rPr>
      <w:rFonts w:asciiTheme="minorHAnsi" w:hAnsiTheme="minorHAnsi" w:eastAsiaTheme="minorEastAsia" w:cstheme="minorBidi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link w:val="23"/>
    <w:qFormat/>
    <w:uiPriority w:val="9"/>
    <w:pPr>
      <w:pBdr>
        <w:bottom w:val="single" w:color="366091" w:themeColor="accent1" w:themeShade="BF" w:sz="12" w:space="1"/>
      </w:pBdr>
      <w:spacing w:before="600" w:after="80"/>
      <w:ind w:firstLine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4"/>
      <w:szCs w:val="24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pBdr>
        <w:bottom w:val="single" w:color="4F81BD" w:themeColor="accent1" w:sz="8" w:space="1"/>
      </w:pBdr>
      <w:spacing w:before="200" w:after="80"/>
      <w:ind w:firstLine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4"/>
      <w:szCs w:val="24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pBdr>
        <w:bottom w:val="single" w:color="95B3D7" w:themeColor="accent1" w:themeTint="99" w:sz="4" w:space="1"/>
      </w:pBdr>
      <w:spacing w:before="200" w:after="80"/>
      <w:ind w:firstLine="0"/>
      <w:outlineLvl w:val="2"/>
    </w:pPr>
    <w:rPr>
      <w:rFonts w:asciiTheme="majorHAnsi" w:hAnsiTheme="majorHAnsi" w:eastAsiaTheme="majorEastAsia" w:cstheme="majorBidi"/>
      <w:color w:val="4F81BD" w:themeColor="accent1"/>
      <w:sz w:val="24"/>
      <w:szCs w:val="24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pBdr>
        <w:bottom w:val="single" w:color="B8CCE4" w:themeColor="accent1" w:themeTint="66" w:sz="4" w:space="2"/>
      </w:pBdr>
      <w:spacing w:before="200" w:after="80"/>
      <w:ind w:firstLine="0"/>
      <w:outlineLvl w:val="3"/>
    </w:pPr>
    <w:rPr>
      <w:rFonts w:asciiTheme="majorHAnsi" w:hAnsiTheme="majorHAnsi" w:eastAsiaTheme="majorEastAsia" w:cstheme="majorBidi"/>
      <w:i/>
      <w:iCs/>
      <w:color w:val="4F81BD" w:themeColor="accent1"/>
      <w:sz w:val="24"/>
      <w:szCs w:val="24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spacing w:before="200" w:after="80"/>
      <w:ind w:firstLine="0"/>
      <w:outlineLvl w:val="4"/>
    </w:pPr>
    <w:rPr>
      <w:rFonts w:asciiTheme="majorHAnsi" w:hAnsiTheme="majorHAnsi" w:eastAsiaTheme="majorEastAsia" w:cstheme="majorBidi"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spacing w:before="280" w:after="100"/>
      <w:ind w:firstLine="0"/>
      <w:outlineLvl w:val="5"/>
    </w:pPr>
    <w:rPr>
      <w:rFonts w:asciiTheme="majorHAnsi" w:hAnsiTheme="majorHAnsi" w:eastAsiaTheme="majorEastAsia" w:cstheme="maj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spacing w:before="320" w:after="100"/>
      <w:ind w:firstLine="0"/>
      <w:outlineLvl w:val="6"/>
    </w:pPr>
    <w:rPr>
      <w:rFonts w:asciiTheme="majorHAnsi" w:hAnsiTheme="majorHAnsi" w:eastAsiaTheme="majorEastAsia" w:cstheme="majorBidi"/>
      <w:b/>
      <w:bCs/>
      <w:color w:val="9BBB59" w:themeColor="accent3"/>
      <w:sz w:val="20"/>
      <w:szCs w:val="20"/>
      <w14:textFill>
        <w14:solidFill>
          <w14:schemeClr w14:val="accent3"/>
        </w14:solidFill>
      </w14:textFill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spacing w:before="320" w:after="100"/>
      <w:ind w:firstLine="0"/>
      <w:outlineLvl w:val="7"/>
    </w:pPr>
    <w:rPr>
      <w:rFonts w:asciiTheme="majorHAnsi" w:hAnsiTheme="majorHAnsi" w:eastAsiaTheme="majorEastAsia" w:cstheme="majorBidi"/>
      <w:b/>
      <w:bCs/>
      <w:i/>
      <w:iCs/>
      <w:color w:val="9BBB59" w:themeColor="accent3"/>
      <w:sz w:val="20"/>
      <w:szCs w:val="20"/>
      <w14:textFill>
        <w14:solidFill>
          <w14:schemeClr w14:val="accent3"/>
        </w14:solidFill>
      </w14:textFill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spacing w:before="320" w:after="100"/>
      <w:ind w:firstLine="0"/>
      <w:outlineLvl w:val="8"/>
    </w:pPr>
    <w:rPr>
      <w:rFonts w:asciiTheme="majorHAnsi" w:hAnsiTheme="majorHAnsi" w:eastAsiaTheme="majorEastAsia" w:cstheme="majorBidi"/>
      <w:i/>
      <w:iCs/>
      <w:color w:val="9BBB59" w:themeColor="accent3"/>
      <w:sz w:val="20"/>
      <w:szCs w:val="20"/>
      <w14:textFill>
        <w14:solidFill>
          <w14:schemeClr w14:val="accent3"/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b/>
      <w:bCs/>
      <w:sz w:val="18"/>
      <w:szCs w:val="18"/>
    </w:rPr>
  </w:style>
  <w:style w:type="paragraph" w:styleId="12">
    <w:name w:val="footer"/>
    <w:basedOn w:val="1"/>
    <w:link w:val="47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header"/>
    <w:basedOn w:val="1"/>
    <w:link w:val="4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3"/>
    <w:qFormat/>
    <w:uiPriority w:val="11"/>
    <w:pPr>
      <w:spacing w:before="200" w:after="900"/>
      <w:ind w:firstLine="0"/>
      <w:jc w:val="right"/>
    </w:pPr>
    <w:rPr>
      <w:i/>
      <w:iCs/>
      <w:sz w:val="24"/>
      <w:szCs w:val="24"/>
    </w:rPr>
  </w:style>
  <w:style w:type="paragraph" w:styleId="15">
    <w:name w:val="Title"/>
    <w:basedOn w:val="1"/>
    <w:next w:val="1"/>
    <w:link w:val="32"/>
    <w:qFormat/>
    <w:uiPriority w:val="10"/>
    <w:pPr>
      <w:pBdr>
        <w:top w:val="single" w:color="A7C0DE" w:themeColor="accent1" w:themeTint="7F" w:sz="8" w:space="10"/>
        <w:bottom w:val="single" w:color="9BBB59" w:themeColor="accent3" w:sz="24" w:space="15"/>
      </w:pBdr>
      <w:ind w:firstLine="0"/>
      <w:jc w:val="center"/>
    </w:pPr>
    <w:rPr>
      <w:rFonts w:asciiTheme="majorHAnsi" w:hAnsiTheme="majorHAnsi" w:eastAsiaTheme="majorEastAsia" w:cstheme="majorBidi"/>
      <w:i/>
      <w:iCs/>
      <w:color w:val="254061" w:themeColor="accent1" w:themeShade="80"/>
      <w:sz w:val="60"/>
      <w:szCs w:val="60"/>
    </w:rPr>
  </w:style>
  <w:style w:type="character" w:styleId="18">
    <w:name w:val="Strong"/>
    <w:basedOn w:val="17"/>
    <w:qFormat/>
    <w:uiPriority w:val="22"/>
    <w:rPr>
      <w:b/>
      <w:bCs/>
      <w:spacing w:val="0"/>
    </w:rPr>
  </w:style>
  <w:style w:type="character" w:styleId="19">
    <w:name w:val="Emphasis"/>
    <w:qFormat/>
    <w:uiPriority w:val="20"/>
    <w:rPr>
      <w:b/>
      <w:bCs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0">
    <w:name w:val="List Paragraph"/>
    <w:basedOn w:val="1"/>
    <w:qFormat/>
    <w:uiPriority w:val="34"/>
    <w:pPr>
      <w:ind w:left="720"/>
      <w:contextualSpacing/>
    </w:pPr>
  </w:style>
  <w:style w:type="paragraph" w:customStyle="1" w:styleId="21">
    <w:name w:val="BodyText1I2"/>
    <w:basedOn w:val="1"/>
    <w:next w:val="1"/>
    <w:semiHidden/>
    <w:qFormat/>
    <w:uiPriority w:val="0"/>
    <w:pPr>
      <w:spacing w:before="100" w:beforeAutospacing="1" w:after="120"/>
      <w:ind w:left="420" w:leftChars="200" w:firstLine="200" w:firstLineChars="200"/>
      <w:textAlignment w:val="baseline"/>
    </w:pPr>
    <w:rPr>
      <w:rFonts w:ascii="Calibri" w:hAnsi="Calibri" w:eastAsia="仿宋_GB2312" w:cs="Calibri"/>
      <w:sz w:val="36"/>
      <w:szCs w:val="36"/>
    </w:rPr>
  </w:style>
  <w:style w:type="paragraph" w:customStyle="1" w:styleId="22">
    <w:name w:val="正文1"/>
    <w:qFormat/>
    <w:uiPriority w:val="0"/>
    <w:pPr>
      <w:ind w:firstLine="360"/>
      <w:jc w:val="both"/>
    </w:pPr>
    <w:rPr>
      <w:rFonts w:ascii="Times New Roman" w:hAnsi="Times New Roman" w:eastAsia="宋体" w:cs="Times New Roman"/>
      <w:sz w:val="22"/>
      <w:szCs w:val="21"/>
      <w:lang w:val="en-US" w:eastAsia="en-US" w:bidi="en-US"/>
    </w:rPr>
  </w:style>
  <w:style w:type="character" w:customStyle="1" w:styleId="23">
    <w:name w:val="标题 1 Char"/>
    <w:basedOn w:val="17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4"/>
      <w:szCs w:val="24"/>
    </w:rPr>
  </w:style>
  <w:style w:type="character" w:customStyle="1" w:styleId="24">
    <w:name w:val="标题 2 Char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24"/>
      <w:szCs w:val="24"/>
    </w:rPr>
  </w:style>
  <w:style w:type="character" w:customStyle="1" w:styleId="25">
    <w:name w:val="标题 3 Char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4"/>
      <w:szCs w:val="24"/>
      <w14:textFill>
        <w14:solidFill>
          <w14:schemeClr w14:val="accent1"/>
        </w14:solidFill>
      </w14:textFill>
    </w:rPr>
  </w:style>
  <w:style w:type="character" w:customStyle="1" w:styleId="26">
    <w:name w:val="标题 4 Char"/>
    <w:basedOn w:val="17"/>
    <w:link w:val="5"/>
    <w:semiHidden/>
    <w:uiPriority w:val="9"/>
    <w:rPr>
      <w:rFonts w:asciiTheme="majorHAnsi" w:hAnsiTheme="majorHAnsi" w:eastAsiaTheme="majorEastAsia" w:cstheme="majorBidi"/>
      <w:i/>
      <w:iCs/>
      <w:color w:val="4F81BD" w:themeColor="accent1"/>
      <w:sz w:val="24"/>
      <w:szCs w:val="24"/>
      <w14:textFill>
        <w14:solidFill>
          <w14:schemeClr w14:val="accent1"/>
        </w14:solidFill>
      </w14:textFill>
    </w:rPr>
  </w:style>
  <w:style w:type="character" w:customStyle="1" w:styleId="27">
    <w:name w:val="标题 5 Char"/>
    <w:basedOn w:val="17"/>
    <w:link w:val="6"/>
    <w:semiHidden/>
    <w:uiPriority w:val="9"/>
    <w:rPr>
      <w:rFonts w:asciiTheme="majorHAnsi" w:hAnsiTheme="majorHAnsi" w:eastAsiaTheme="majorEastAsia" w:cstheme="majorBidi"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8">
    <w:name w:val="标题 6 Char"/>
    <w:basedOn w:val="17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9">
    <w:name w:val="标题 7 Char"/>
    <w:basedOn w:val="17"/>
    <w:link w:val="8"/>
    <w:semiHidden/>
    <w:qFormat/>
    <w:uiPriority w:val="9"/>
    <w:rPr>
      <w:rFonts w:asciiTheme="majorHAnsi" w:hAnsiTheme="majorHAnsi" w:eastAsiaTheme="majorEastAsia" w:cstheme="majorBidi"/>
      <w:b/>
      <w:bCs/>
      <w:color w:val="9BBB59" w:themeColor="accent3"/>
      <w:sz w:val="20"/>
      <w:szCs w:val="20"/>
      <w14:textFill>
        <w14:solidFill>
          <w14:schemeClr w14:val="accent3"/>
        </w14:solidFill>
      </w14:textFill>
    </w:rPr>
  </w:style>
  <w:style w:type="character" w:customStyle="1" w:styleId="30">
    <w:name w:val="标题 8 Char"/>
    <w:basedOn w:val="17"/>
    <w:link w:val="9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9BBB59" w:themeColor="accent3"/>
      <w:sz w:val="20"/>
      <w:szCs w:val="20"/>
      <w14:textFill>
        <w14:solidFill>
          <w14:schemeClr w14:val="accent3"/>
        </w14:solidFill>
      </w14:textFill>
    </w:rPr>
  </w:style>
  <w:style w:type="character" w:customStyle="1" w:styleId="31">
    <w:name w:val="标题 9 Char"/>
    <w:basedOn w:val="17"/>
    <w:link w:val="10"/>
    <w:semiHidden/>
    <w:uiPriority w:val="9"/>
    <w:rPr>
      <w:rFonts w:asciiTheme="majorHAnsi" w:hAnsiTheme="majorHAnsi" w:eastAsiaTheme="majorEastAsia" w:cstheme="majorBidi"/>
      <w:i/>
      <w:iCs/>
      <w:color w:val="9BBB59" w:themeColor="accent3"/>
      <w:sz w:val="20"/>
      <w:szCs w:val="20"/>
      <w14:textFill>
        <w14:solidFill>
          <w14:schemeClr w14:val="accent3"/>
        </w14:solidFill>
      </w14:textFill>
    </w:rPr>
  </w:style>
  <w:style w:type="character" w:customStyle="1" w:styleId="32">
    <w:name w:val="标题 Char"/>
    <w:basedOn w:val="17"/>
    <w:link w:val="15"/>
    <w:uiPriority w:val="10"/>
    <w:rPr>
      <w:rFonts w:asciiTheme="majorHAnsi" w:hAnsiTheme="majorHAnsi" w:eastAsiaTheme="majorEastAsia" w:cstheme="majorBidi"/>
      <w:i/>
      <w:iCs/>
      <w:color w:val="254061" w:themeColor="accent1" w:themeShade="80"/>
      <w:sz w:val="60"/>
      <w:szCs w:val="60"/>
    </w:rPr>
  </w:style>
  <w:style w:type="character" w:customStyle="1" w:styleId="33">
    <w:name w:val="副标题 Char"/>
    <w:basedOn w:val="17"/>
    <w:link w:val="14"/>
    <w:qFormat/>
    <w:uiPriority w:val="11"/>
    <w:rPr>
      <w:rFonts w:asciiTheme="minorHAnsi"/>
      <w:i/>
      <w:iCs/>
      <w:sz w:val="24"/>
      <w:szCs w:val="24"/>
    </w:rPr>
  </w:style>
  <w:style w:type="paragraph" w:styleId="34">
    <w:name w:val="No Spacing"/>
    <w:basedOn w:val="1"/>
    <w:link w:val="35"/>
    <w:qFormat/>
    <w:uiPriority w:val="1"/>
    <w:pPr>
      <w:ind w:firstLine="0"/>
    </w:pPr>
  </w:style>
  <w:style w:type="character" w:customStyle="1" w:styleId="35">
    <w:name w:val="无间隔 Char"/>
    <w:basedOn w:val="17"/>
    <w:link w:val="34"/>
    <w:qFormat/>
    <w:uiPriority w:val="1"/>
  </w:style>
  <w:style w:type="paragraph" w:styleId="36">
    <w:name w:val="Quote"/>
    <w:basedOn w:val="1"/>
    <w:next w:val="1"/>
    <w:link w:val="37"/>
    <w:qFormat/>
    <w:uiPriority w:val="29"/>
    <w:rPr>
      <w:rFonts w:asciiTheme="majorHAnsi" w:hAnsiTheme="maj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">
    <w:name w:val="引用 Char"/>
    <w:basedOn w:val="17"/>
    <w:link w:val="36"/>
    <w:uiPriority w:val="29"/>
    <w:rPr>
      <w:rFonts w:asciiTheme="majorHAnsi" w:hAnsiTheme="maj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8">
    <w:name w:val="Intense Quote"/>
    <w:basedOn w:val="1"/>
    <w:next w:val="1"/>
    <w:link w:val="39"/>
    <w:qFormat/>
    <w:uiPriority w:val="30"/>
    <w:pPr>
      <w:pBdr>
        <w:top w:val="single" w:color="B8CCE4" w:themeColor="accent1" w:themeTint="66" w:sz="12" w:space="10"/>
        <w:left w:val="single" w:color="4F81BD" w:themeColor="accent1" w:sz="36" w:space="4"/>
        <w:bottom w:val="single" w:color="9BBB59" w:themeColor="accent3" w:sz="24" w:space="10"/>
        <w:right w:val="single" w:color="4F81BD" w:themeColor="accent1" w:sz="36" w:space="4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hAnsiTheme="majorHAnsi" w:eastAsiaTheme="majorEastAsia" w:cstheme="majorBidi"/>
      <w:i/>
      <w:iCs/>
      <w:color w:val="FFFFFF" w:themeColor="background1"/>
      <w:sz w:val="24"/>
      <w:szCs w:val="24"/>
      <w14:textFill>
        <w14:solidFill>
          <w14:schemeClr w14:val="bg1"/>
        </w14:solidFill>
      </w14:textFill>
    </w:rPr>
  </w:style>
  <w:style w:type="character" w:customStyle="1" w:styleId="39">
    <w:name w:val="明显引用 Char"/>
    <w:basedOn w:val="17"/>
    <w:link w:val="38"/>
    <w:qFormat/>
    <w:uiPriority w:val="30"/>
    <w:rPr>
      <w:rFonts w:asciiTheme="majorHAnsi" w:hAnsiTheme="majorHAnsi" w:eastAsiaTheme="majorEastAsia" w:cstheme="majorBidi"/>
      <w:i/>
      <w:iCs/>
      <w:color w:val="FFFFFF" w:themeColor="background1"/>
      <w:sz w:val="24"/>
      <w:szCs w:val="24"/>
      <w:shd w:val="clear" w:color="auto" w:fill="4F81BD" w:themeFill="accent1"/>
      <w14:textFill>
        <w14:solidFill>
          <w14:schemeClr w14:val="bg1"/>
        </w14:solidFill>
      </w14:textFill>
    </w:rPr>
  </w:style>
  <w:style w:type="character" w:customStyle="1" w:styleId="40">
    <w:name w:val="Subtle Emphasis"/>
    <w:qFormat/>
    <w:uiPriority w:val="19"/>
    <w:rPr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">
    <w:name w:val="Intense Emphasis"/>
    <w:qFormat/>
    <w:uiPriority w:val="21"/>
    <w:rPr>
      <w:b/>
      <w:bCs/>
      <w:i/>
      <w:iCs/>
      <w:color w:val="4F81BD" w:themeColor="accent1"/>
      <w:sz w:val="22"/>
      <w:szCs w:val="22"/>
      <w14:textFill>
        <w14:solidFill>
          <w14:schemeClr w14:val="accent1"/>
        </w14:solidFill>
      </w14:textFill>
    </w:rPr>
  </w:style>
  <w:style w:type="character" w:customStyle="1" w:styleId="42">
    <w:name w:val="Subtle Reference"/>
    <w:qFormat/>
    <w:uiPriority w:val="31"/>
    <w:rPr>
      <w:color w:val="auto"/>
      <w:u w:val="single" w:color="9BBB59" w:themeColor="accent3"/>
    </w:rPr>
  </w:style>
  <w:style w:type="character" w:customStyle="1" w:styleId="43">
    <w:name w:val="Intense Reference"/>
    <w:basedOn w:val="17"/>
    <w:qFormat/>
    <w:uiPriority w:val="32"/>
    <w:rPr>
      <w:b/>
      <w:bCs/>
      <w:color w:val="77933C" w:themeColor="accent3" w:themeShade="BF"/>
      <w:u w:val="single" w:color="9BBB59" w:themeColor="accent3"/>
    </w:rPr>
  </w:style>
  <w:style w:type="character" w:customStyle="1" w:styleId="44">
    <w:name w:val="Book Title"/>
    <w:basedOn w:val="17"/>
    <w:qFormat/>
    <w:uiPriority w:val="33"/>
    <w:rPr>
      <w:rFonts w:asciiTheme="majorHAnsi" w:hAnsiTheme="majorHAnsi" w:eastAsiaTheme="majorEastAsia" w:cstheme="majorBidi"/>
      <w:b/>
      <w:bCs/>
      <w:i/>
      <w:iCs/>
      <w:color w:val="auto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眉 Char"/>
    <w:basedOn w:val="17"/>
    <w:link w:val="13"/>
    <w:semiHidden/>
    <w:uiPriority w:val="99"/>
    <w:rPr>
      <w:sz w:val="18"/>
      <w:szCs w:val="18"/>
    </w:rPr>
  </w:style>
  <w:style w:type="character" w:customStyle="1" w:styleId="47">
    <w:name w:val="页脚 Char"/>
    <w:basedOn w:val="17"/>
    <w:link w:val="1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4596</Words>
  <Characters>4782</Characters>
  <Lines>35</Lines>
  <Paragraphs>9</Paragraphs>
  <TotalTime>39</TotalTime>
  <ScaleCrop>false</ScaleCrop>
  <LinksUpToDate>false</LinksUpToDate>
  <CharactersWithSpaces>4867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2024-09-04T07:30:00Z</dcterms:created>
  <dc:creator>Windows User</dc:creator>
  <cp:lastModifiedBy>魅影小流星</cp:lastModifiedBy>
  <dcterms:modified xsi:type="dcterms:W3CDTF">2024-10-18T03:41:28Z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0F6FA797C2DB43BA9C29096BDFBC5D81_12</vt:lpwstr>
  </property>
</Properties>
</file>