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12FD1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附件1-2</w:t>
      </w:r>
    </w:p>
    <w:p w14:paraId="4A8B738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0"/>
          <w:szCs w:val="40"/>
          <w:shd w:val="clear" w:color="auto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0"/>
          <w:szCs w:val="40"/>
          <w:shd w:val="clear" w:color="auto" w:fill="FFFFFF"/>
          <w:lang w:val="en-US" w:eastAsia="zh-CN"/>
        </w:rPr>
        <w:t>整体支出绩效自评表</w:t>
      </w:r>
    </w:p>
    <w:tbl>
      <w:tblPr>
        <w:tblStyle w:val="3"/>
        <w:tblW w:w="92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1"/>
        <w:gridCol w:w="1127"/>
        <w:gridCol w:w="1066"/>
        <w:gridCol w:w="973"/>
        <w:gridCol w:w="89"/>
        <w:gridCol w:w="1155"/>
        <w:gridCol w:w="1097"/>
        <w:gridCol w:w="692"/>
        <w:gridCol w:w="816"/>
        <w:gridCol w:w="1126"/>
      </w:tblGrid>
      <w:tr w14:paraId="79AFB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1121" w:type="dxa"/>
            <w:noWrap w:val="0"/>
            <w:vAlign w:val="center"/>
          </w:tcPr>
          <w:p w14:paraId="0D052E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单位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8141" w:type="dxa"/>
            <w:gridSpan w:val="9"/>
            <w:noWrap w:val="0"/>
            <w:vAlign w:val="center"/>
          </w:tcPr>
          <w:p w14:paraId="5D9012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会同县政府采购中心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1B77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121" w:type="dxa"/>
            <w:vMerge w:val="restart"/>
            <w:noWrap w:val="0"/>
            <w:vAlign w:val="center"/>
          </w:tcPr>
          <w:p w14:paraId="6B14BC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年度预</w:t>
            </w:r>
          </w:p>
          <w:p w14:paraId="438E7F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算申请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93" w:type="dxa"/>
            <w:gridSpan w:val="2"/>
            <w:noWrap w:val="0"/>
            <w:vAlign w:val="center"/>
          </w:tcPr>
          <w:p w14:paraId="13596B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73" w:type="dxa"/>
            <w:noWrap w:val="0"/>
            <w:vAlign w:val="center"/>
          </w:tcPr>
          <w:p w14:paraId="4B082D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年初</w:t>
            </w:r>
          </w:p>
          <w:p w14:paraId="60AE3E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预算数</w:t>
            </w:r>
          </w:p>
        </w:tc>
        <w:tc>
          <w:tcPr>
            <w:tcW w:w="1244" w:type="dxa"/>
            <w:gridSpan w:val="2"/>
            <w:noWrap w:val="0"/>
            <w:vAlign w:val="center"/>
          </w:tcPr>
          <w:p w14:paraId="6D2314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全年预算数</w:t>
            </w:r>
          </w:p>
        </w:tc>
        <w:tc>
          <w:tcPr>
            <w:tcW w:w="1097" w:type="dxa"/>
            <w:noWrap w:val="0"/>
            <w:vAlign w:val="center"/>
          </w:tcPr>
          <w:p w14:paraId="747B99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29C44E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692" w:type="dxa"/>
            <w:noWrap w:val="0"/>
            <w:vAlign w:val="center"/>
          </w:tcPr>
          <w:p w14:paraId="2E3A72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816" w:type="dxa"/>
            <w:noWrap w:val="0"/>
            <w:vAlign w:val="center"/>
          </w:tcPr>
          <w:p w14:paraId="2EB22F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126" w:type="dxa"/>
            <w:noWrap w:val="0"/>
            <w:vAlign w:val="center"/>
          </w:tcPr>
          <w:p w14:paraId="072C4B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5F597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21" w:type="dxa"/>
            <w:vMerge w:val="continue"/>
            <w:noWrap w:val="0"/>
            <w:vAlign w:val="center"/>
          </w:tcPr>
          <w:p w14:paraId="32A916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93" w:type="dxa"/>
            <w:gridSpan w:val="2"/>
            <w:noWrap w:val="0"/>
            <w:vAlign w:val="center"/>
          </w:tcPr>
          <w:p w14:paraId="0D30F3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973" w:type="dxa"/>
            <w:noWrap w:val="0"/>
            <w:vAlign w:val="center"/>
          </w:tcPr>
          <w:p w14:paraId="2F6092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44.28</w:t>
            </w:r>
          </w:p>
        </w:tc>
        <w:tc>
          <w:tcPr>
            <w:tcW w:w="1244" w:type="dxa"/>
            <w:gridSpan w:val="2"/>
            <w:noWrap w:val="0"/>
            <w:vAlign w:val="center"/>
          </w:tcPr>
          <w:p w14:paraId="441EAB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37.99</w:t>
            </w:r>
          </w:p>
        </w:tc>
        <w:tc>
          <w:tcPr>
            <w:tcW w:w="1097" w:type="dxa"/>
            <w:noWrap w:val="0"/>
            <w:vAlign w:val="center"/>
          </w:tcPr>
          <w:p w14:paraId="402970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37.99</w:t>
            </w:r>
          </w:p>
        </w:tc>
        <w:tc>
          <w:tcPr>
            <w:tcW w:w="692" w:type="dxa"/>
            <w:noWrap w:val="0"/>
            <w:vAlign w:val="center"/>
          </w:tcPr>
          <w:p w14:paraId="017E9D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10</w:t>
            </w:r>
          </w:p>
        </w:tc>
        <w:tc>
          <w:tcPr>
            <w:tcW w:w="816" w:type="dxa"/>
            <w:noWrap w:val="0"/>
            <w:vAlign w:val="center"/>
          </w:tcPr>
          <w:p w14:paraId="02A160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85.79%</w:t>
            </w:r>
          </w:p>
        </w:tc>
        <w:tc>
          <w:tcPr>
            <w:tcW w:w="1126" w:type="dxa"/>
            <w:noWrap w:val="0"/>
            <w:vAlign w:val="center"/>
          </w:tcPr>
          <w:p w14:paraId="49A358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8.5</w:t>
            </w:r>
            <w:bookmarkStart w:id="0" w:name="_GoBack"/>
            <w:bookmarkEnd w:id="0"/>
          </w:p>
        </w:tc>
      </w:tr>
      <w:tr w14:paraId="294AF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21" w:type="dxa"/>
            <w:vMerge w:val="continue"/>
            <w:noWrap w:val="0"/>
            <w:vAlign w:val="center"/>
          </w:tcPr>
          <w:p w14:paraId="2CA14F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10" w:type="dxa"/>
            <w:gridSpan w:val="5"/>
            <w:noWrap w:val="0"/>
            <w:vAlign w:val="center"/>
          </w:tcPr>
          <w:p w14:paraId="27CECE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按收入性质分：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44.28</w:t>
            </w:r>
          </w:p>
        </w:tc>
        <w:tc>
          <w:tcPr>
            <w:tcW w:w="3731" w:type="dxa"/>
            <w:gridSpan w:val="4"/>
            <w:noWrap w:val="0"/>
            <w:vAlign w:val="center"/>
          </w:tcPr>
          <w:p w14:paraId="690DD8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按支出性质分：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44.28</w:t>
            </w:r>
          </w:p>
        </w:tc>
      </w:tr>
      <w:tr w14:paraId="32AC7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21" w:type="dxa"/>
            <w:vMerge w:val="continue"/>
            <w:noWrap w:val="0"/>
            <w:vAlign w:val="center"/>
          </w:tcPr>
          <w:p w14:paraId="1D64C9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10" w:type="dxa"/>
            <w:gridSpan w:val="5"/>
            <w:noWrap w:val="0"/>
            <w:vAlign w:val="center"/>
          </w:tcPr>
          <w:p w14:paraId="353580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 xml:space="preserve">  其中：  一般公共预算：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44.28</w:t>
            </w:r>
          </w:p>
        </w:tc>
        <w:tc>
          <w:tcPr>
            <w:tcW w:w="3731" w:type="dxa"/>
            <w:gridSpan w:val="4"/>
            <w:noWrap w:val="0"/>
            <w:vAlign w:val="center"/>
          </w:tcPr>
          <w:p w14:paraId="05622E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其中：基本支出：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37.88</w:t>
            </w:r>
          </w:p>
        </w:tc>
      </w:tr>
      <w:tr w14:paraId="6B5F7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21" w:type="dxa"/>
            <w:vMerge w:val="continue"/>
            <w:noWrap w:val="0"/>
            <w:vAlign w:val="center"/>
          </w:tcPr>
          <w:p w14:paraId="29E34C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10" w:type="dxa"/>
            <w:gridSpan w:val="5"/>
            <w:noWrap w:val="0"/>
            <w:vAlign w:val="center"/>
          </w:tcPr>
          <w:p w14:paraId="1CCE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800" w:firstLineChars="4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政府性基金拨款：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3731" w:type="dxa"/>
            <w:gridSpan w:val="4"/>
            <w:noWrap w:val="0"/>
            <w:vAlign w:val="center"/>
          </w:tcPr>
          <w:p w14:paraId="3016A8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600" w:firstLineChars="300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项目支出：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6.4</w:t>
            </w:r>
          </w:p>
        </w:tc>
      </w:tr>
      <w:tr w14:paraId="319B1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21" w:type="dxa"/>
            <w:vMerge w:val="continue"/>
            <w:noWrap w:val="0"/>
            <w:vAlign w:val="center"/>
          </w:tcPr>
          <w:p w14:paraId="68CC2E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10" w:type="dxa"/>
            <w:gridSpan w:val="5"/>
            <w:noWrap w:val="0"/>
            <w:vAlign w:val="center"/>
          </w:tcPr>
          <w:p w14:paraId="65C5C4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纳入专户管理的非税收入拨款：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3731" w:type="dxa"/>
            <w:gridSpan w:val="4"/>
            <w:noWrap w:val="0"/>
            <w:vAlign w:val="center"/>
          </w:tcPr>
          <w:p w14:paraId="1805CC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0D33B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121" w:type="dxa"/>
            <w:vMerge w:val="continue"/>
            <w:noWrap w:val="0"/>
            <w:vAlign w:val="center"/>
          </w:tcPr>
          <w:p w14:paraId="161F7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10" w:type="dxa"/>
            <w:gridSpan w:val="5"/>
            <w:noWrap w:val="0"/>
            <w:vAlign w:val="center"/>
          </w:tcPr>
          <w:p w14:paraId="64D46E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1400" w:firstLineChars="7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3731" w:type="dxa"/>
            <w:gridSpan w:val="4"/>
            <w:noWrap w:val="0"/>
            <w:vAlign w:val="center"/>
          </w:tcPr>
          <w:p w14:paraId="0B06AD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2DDD6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21" w:type="dxa"/>
            <w:vMerge w:val="restart"/>
            <w:noWrap w:val="0"/>
            <w:vAlign w:val="center"/>
          </w:tcPr>
          <w:p w14:paraId="21ECEA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410" w:type="dxa"/>
            <w:gridSpan w:val="5"/>
            <w:noWrap w:val="0"/>
            <w:vAlign w:val="center"/>
          </w:tcPr>
          <w:p w14:paraId="3AC879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731" w:type="dxa"/>
            <w:gridSpan w:val="4"/>
            <w:noWrap w:val="0"/>
            <w:vAlign w:val="center"/>
          </w:tcPr>
          <w:p w14:paraId="191B01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 w14:paraId="78EF4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  <w:jc w:val="center"/>
        </w:trPr>
        <w:tc>
          <w:tcPr>
            <w:tcW w:w="1121" w:type="dxa"/>
            <w:vMerge w:val="continue"/>
            <w:noWrap w:val="0"/>
            <w:vAlign w:val="center"/>
          </w:tcPr>
          <w:p w14:paraId="3EE9F4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10" w:type="dxa"/>
            <w:gridSpan w:val="5"/>
            <w:noWrap w:val="0"/>
            <w:vAlign w:val="center"/>
          </w:tcPr>
          <w:p w14:paraId="1B1B41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公开招标采购、竞争性谈判采购、竞争性磋商采购、询价采购、单一来源采购等完成率均为100%；完成政府采购招标经费预算44.28万元，资金使用率100%.　　</w:t>
            </w:r>
          </w:p>
        </w:tc>
        <w:tc>
          <w:tcPr>
            <w:tcW w:w="3731" w:type="dxa"/>
            <w:gridSpan w:val="4"/>
            <w:noWrap w:val="0"/>
            <w:vAlign w:val="center"/>
          </w:tcPr>
          <w:p w14:paraId="4F5EFC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公开招标采购、竞争性谈判采购、竞争性磋商采购、询价采购、单一来源采购等完成率均为100%；完成政府采购招标经费预算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37.99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万元，资金使用率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85.79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%.　　</w:t>
            </w:r>
          </w:p>
        </w:tc>
      </w:tr>
      <w:tr w14:paraId="4654F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121" w:type="dxa"/>
            <w:vMerge w:val="restart"/>
            <w:noWrap w:val="0"/>
            <w:vAlign w:val="center"/>
          </w:tcPr>
          <w:p w14:paraId="3974EC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230DA2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2706D6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0F7622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127" w:type="dxa"/>
            <w:noWrap w:val="0"/>
            <w:vAlign w:val="center"/>
          </w:tcPr>
          <w:p w14:paraId="249273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66" w:type="dxa"/>
            <w:noWrap w:val="0"/>
            <w:vAlign w:val="center"/>
          </w:tcPr>
          <w:p w14:paraId="67C1E4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062" w:type="dxa"/>
            <w:gridSpan w:val="2"/>
            <w:noWrap w:val="0"/>
            <w:vAlign w:val="center"/>
          </w:tcPr>
          <w:p w14:paraId="327D09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155" w:type="dxa"/>
            <w:noWrap w:val="0"/>
            <w:vAlign w:val="center"/>
          </w:tcPr>
          <w:p w14:paraId="555944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 w14:paraId="259445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097" w:type="dxa"/>
            <w:noWrap w:val="0"/>
            <w:vAlign w:val="center"/>
          </w:tcPr>
          <w:p w14:paraId="500D6C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 w14:paraId="082F98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692" w:type="dxa"/>
            <w:noWrap w:val="0"/>
            <w:vAlign w:val="center"/>
          </w:tcPr>
          <w:p w14:paraId="14D03B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16" w:type="dxa"/>
            <w:noWrap w:val="0"/>
            <w:vAlign w:val="center"/>
          </w:tcPr>
          <w:p w14:paraId="09D256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126" w:type="dxa"/>
            <w:noWrap w:val="0"/>
            <w:vAlign w:val="top"/>
          </w:tcPr>
          <w:p w14:paraId="6714A0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 w14:paraId="2B8C84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 w14:paraId="233BF2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14:paraId="171D3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21" w:type="dxa"/>
            <w:vMerge w:val="continue"/>
            <w:noWrap w:val="0"/>
            <w:vAlign w:val="center"/>
          </w:tcPr>
          <w:p w14:paraId="740E60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7" w:type="dxa"/>
            <w:vMerge w:val="restart"/>
            <w:noWrap w:val="0"/>
            <w:vAlign w:val="center"/>
          </w:tcPr>
          <w:p w14:paraId="5DD57D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 w14:paraId="553C4E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50分)</w:t>
            </w:r>
          </w:p>
        </w:tc>
        <w:tc>
          <w:tcPr>
            <w:tcW w:w="1066" w:type="dxa"/>
            <w:noWrap w:val="0"/>
            <w:vAlign w:val="center"/>
          </w:tcPr>
          <w:p w14:paraId="143DBF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</w:t>
            </w:r>
          </w:p>
          <w:p w14:paraId="4AB11E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062" w:type="dxa"/>
            <w:gridSpan w:val="2"/>
            <w:noWrap w:val="0"/>
            <w:vAlign w:val="center"/>
          </w:tcPr>
          <w:p w14:paraId="54A2D4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实际完成率</w:t>
            </w:r>
          </w:p>
        </w:tc>
        <w:tc>
          <w:tcPr>
            <w:tcW w:w="1155" w:type="dxa"/>
            <w:noWrap w:val="0"/>
            <w:vAlign w:val="center"/>
          </w:tcPr>
          <w:p w14:paraId="4C808B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097" w:type="dxa"/>
            <w:noWrap w:val="0"/>
            <w:vAlign w:val="center"/>
          </w:tcPr>
          <w:p w14:paraId="6276C1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692" w:type="dxa"/>
            <w:noWrap w:val="0"/>
            <w:vAlign w:val="center"/>
          </w:tcPr>
          <w:p w14:paraId="7ED764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816" w:type="dxa"/>
            <w:noWrap w:val="0"/>
            <w:vAlign w:val="center"/>
          </w:tcPr>
          <w:p w14:paraId="232F08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1126" w:type="dxa"/>
            <w:noWrap w:val="0"/>
            <w:vAlign w:val="center"/>
          </w:tcPr>
          <w:p w14:paraId="301996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5140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21" w:type="dxa"/>
            <w:vMerge w:val="continue"/>
            <w:noWrap w:val="0"/>
            <w:vAlign w:val="center"/>
          </w:tcPr>
          <w:p w14:paraId="6BFD59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7" w:type="dxa"/>
            <w:vMerge w:val="continue"/>
            <w:noWrap w:val="0"/>
            <w:vAlign w:val="center"/>
          </w:tcPr>
          <w:p w14:paraId="53D855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144581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</w:t>
            </w:r>
          </w:p>
          <w:p w14:paraId="48544C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062" w:type="dxa"/>
            <w:gridSpan w:val="2"/>
            <w:noWrap w:val="0"/>
            <w:vAlign w:val="center"/>
          </w:tcPr>
          <w:p w14:paraId="6EE8EF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质量达标率</w:t>
            </w:r>
          </w:p>
        </w:tc>
        <w:tc>
          <w:tcPr>
            <w:tcW w:w="1155" w:type="dxa"/>
            <w:noWrap w:val="0"/>
            <w:vAlign w:val="center"/>
          </w:tcPr>
          <w:p w14:paraId="7E29BF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097" w:type="dxa"/>
            <w:noWrap w:val="0"/>
            <w:vAlign w:val="center"/>
          </w:tcPr>
          <w:p w14:paraId="67F2C4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692" w:type="dxa"/>
            <w:noWrap w:val="0"/>
            <w:vAlign w:val="center"/>
          </w:tcPr>
          <w:p w14:paraId="3AF697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16" w:type="dxa"/>
            <w:noWrap w:val="0"/>
            <w:vAlign w:val="center"/>
          </w:tcPr>
          <w:p w14:paraId="7DDF43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126" w:type="dxa"/>
            <w:noWrap w:val="0"/>
            <w:vAlign w:val="center"/>
          </w:tcPr>
          <w:p w14:paraId="249250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2ABD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21" w:type="dxa"/>
            <w:vMerge w:val="continue"/>
            <w:noWrap w:val="0"/>
            <w:vAlign w:val="center"/>
          </w:tcPr>
          <w:p w14:paraId="2BB684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7" w:type="dxa"/>
            <w:vMerge w:val="continue"/>
            <w:noWrap w:val="0"/>
            <w:vAlign w:val="center"/>
          </w:tcPr>
          <w:p w14:paraId="069859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3ADD9B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</w:t>
            </w:r>
          </w:p>
          <w:p w14:paraId="33EC4C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062" w:type="dxa"/>
            <w:gridSpan w:val="2"/>
            <w:noWrap w:val="0"/>
            <w:vAlign w:val="center"/>
          </w:tcPr>
          <w:p w14:paraId="37D929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完成及时率</w:t>
            </w:r>
          </w:p>
        </w:tc>
        <w:tc>
          <w:tcPr>
            <w:tcW w:w="1155" w:type="dxa"/>
            <w:noWrap w:val="0"/>
            <w:vAlign w:val="center"/>
          </w:tcPr>
          <w:p w14:paraId="64D13B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097" w:type="dxa"/>
            <w:noWrap w:val="0"/>
            <w:vAlign w:val="center"/>
          </w:tcPr>
          <w:p w14:paraId="64F05F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692" w:type="dxa"/>
            <w:noWrap w:val="0"/>
            <w:vAlign w:val="center"/>
          </w:tcPr>
          <w:p w14:paraId="6960B7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16" w:type="dxa"/>
            <w:noWrap w:val="0"/>
            <w:vAlign w:val="center"/>
          </w:tcPr>
          <w:p w14:paraId="163B51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126" w:type="dxa"/>
            <w:noWrap w:val="0"/>
            <w:vAlign w:val="center"/>
          </w:tcPr>
          <w:p w14:paraId="6623EF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94EF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21" w:type="dxa"/>
            <w:vMerge w:val="continue"/>
            <w:noWrap w:val="0"/>
            <w:vAlign w:val="center"/>
          </w:tcPr>
          <w:p w14:paraId="661C55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7" w:type="dxa"/>
            <w:vMerge w:val="continue"/>
            <w:noWrap w:val="0"/>
            <w:vAlign w:val="center"/>
          </w:tcPr>
          <w:p w14:paraId="33A51B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146E21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</w:t>
            </w:r>
          </w:p>
          <w:p w14:paraId="27998E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062" w:type="dxa"/>
            <w:gridSpan w:val="2"/>
            <w:noWrap w:val="0"/>
            <w:vAlign w:val="center"/>
          </w:tcPr>
          <w:p w14:paraId="37776A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社会成本节约率</w:t>
            </w:r>
          </w:p>
        </w:tc>
        <w:tc>
          <w:tcPr>
            <w:tcW w:w="1155" w:type="dxa"/>
            <w:noWrap w:val="0"/>
            <w:vAlign w:val="center"/>
          </w:tcPr>
          <w:p w14:paraId="7B422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097" w:type="dxa"/>
            <w:noWrap w:val="0"/>
            <w:vAlign w:val="center"/>
          </w:tcPr>
          <w:p w14:paraId="7DD9B8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98%</w:t>
            </w:r>
          </w:p>
        </w:tc>
        <w:tc>
          <w:tcPr>
            <w:tcW w:w="692" w:type="dxa"/>
            <w:noWrap w:val="0"/>
            <w:vAlign w:val="center"/>
          </w:tcPr>
          <w:p w14:paraId="4E1996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16" w:type="dxa"/>
            <w:noWrap w:val="0"/>
            <w:vAlign w:val="center"/>
          </w:tcPr>
          <w:p w14:paraId="6DBAE0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126" w:type="dxa"/>
            <w:noWrap w:val="0"/>
            <w:vAlign w:val="center"/>
          </w:tcPr>
          <w:p w14:paraId="32DF54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更加有力的节约社会成本</w:t>
            </w:r>
          </w:p>
        </w:tc>
      </w:tr>
      <w:tr w14:paraId="677EB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21" w:type="dxa"/>
            <w:vMerge w:val="continue"/>
            <w:noWrap w:val="0"/>
            <w:vAlign w:val="center"/>
          </w:tcPr>
          <w:p w14:paraId="536A17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7" w:type="dxa"/>
            <w:vMerge w:val="restart"/>
            <w:noWrap w:val="0"/>
            <w:vAlign w:val="center"/>
          </w:tcPr>
          <w:p w14:paraId="4A54BA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 w14:paraId="714E5A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1066" w:type="dxa"/>
            <w:noWrap w:val="0"/>
            <w:vAlign w:val="center"/>
          </w:tcPr>
          <w:p w14:paraId="0F4D45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 w14:paraId="68C0F3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062" w:type="dxa"/>
            <w:gridSpan w:val="2"/>
            <w:noWrap w:val="0"/>
            <w:vAlign w:val="center"/>
          </w:tcPr>
          <w:p w14:paraId="0904CD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有效节约财政资金率</w:t>
            </w:r>
          </w:p>
        </w:tc>
        <w:tc>
          <w:tcPr>
            <w:tcW w:w="1155" w:type="dxa"/>
            <w:noWrap w:val="0"/>
            <w:vAlign w:val="center"/>
          </w:tcPr>
          <w:p w14:paraId="1018E3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097" w:type="dxa"/>
            <w:noWrap w:val="0"/>
            <w:vAlign w:val="center"/>
          </w:tcPr>
          <w:p w14:paraId="48254E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692" w:type="dxa"/>
            <w:noWrap w:val="0"/>
            <w:vAlign w:val="center"/>
          </w:tcPr>
          <w:p w14:paraId="675B9B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16" w:type="dxa"/>
            <w:noWrap w:val="0"/>
            <w:vAlign w:val="center"/>
          </w:tcPr>
          <w:p w14:paraId="0CB11E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126" w:type="dxa"/>
            <w:noWrap w:val="0"/>
            <w:vAlign w:val="center"/>
          </w:tcPr>
          <w:p w14:paraId="14F082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更加有力的节约财政资金</w:t>
            </w:r>
          </w:p>
        </w:tc>
      </w:tr>
      <w:tr w14:paraId="3C681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21" w:type="dxa"/>
            <w:vMerge w:val="continue"/>
            <w:noWrap w:val="0"/>
            <w:vAlign w:val="center"/>
          </w:tcPr>
          <w:p w14:paraId="1FE5AC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7" w:type="dxa"/>
            <w:vMerge w:val="continue"/>
            <w:noWrap w:val="0"/>
            <w:vAlign w:val="center"/>
          </w:tcPr>
          <w:p w14:paraId="7B2BA4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60FE98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 w14:paraId="291734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062" w:type="dxa"/>
            <w:gridSpan w:val="2"/>
            <w:noWrap w:val="0"/>
            <w:vAlign w:val="center"/>
          </w:tcPr>
          <w:p w14:paraId="33B03B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坚持公平、公开、公正的原则，保护投标供应商的合法权益</w:t>
            </w:r>
          </w:p>
        </w:tc>
        <w:tc>
          <w:tcPr>
            <w:tcW w:w="1155" w:type="dxa"/>
            <w:noWrap w:val="0"/>
            <w:vAlign w:val="center"/>
          </w:tcPr>
          <w:p w14:paraId="275E5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097" w:type="dxa"/>
            <w:noWrap w:val="0"/>
            <w:vAlign w:val="center"/>
          </w:tcPr>
          <w:p w14:paraId="5E7153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692" w:type="dxa"/>
            <w:noWrap w:val="0"/>
            <w:vAlign w:val="center"/>
          </w:tcPr>
          <w:p w14:paraId="4DC22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16" w:type="dxa"/>
            <w:noWrap w:val="0"/>
            <w:vAlign w:val="center"/>
          </w:tcPr>
          <w:p w14:paraId="3A1101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126" w:type="dxa"/>
            <w:noWrap w:val="0"/>
            <w:vAlign w:val="center"/>
          </w:tcPr>
          <w:p w14:paraId="228BED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全面实行“阳光采购”，自觉接受广大采购单位、供应商以及社会各界的监督。</w:t>
            </w:r>
          </w:p>
        </w:tc>
      </w:tr>
      <w:tr w14:paraId="018FD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21" w:type="dxa"/>
            <w:vMerge w:val="continue"/>
            <w:noWrap w:val="0"/>
            <w:vAlign w:val="center"/>
          </w:tcPr>
          <w:p w14:paraId="2E86AC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7" w:type="dxa"/>
            <w:vMerge w:val="continue"/>
            <w:noWrap w:val="0"/>
            <w:vAlign w:val="center"/>
          </w:tcPr>
          <w:p w14:paraId="2786AD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3725CE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 w14:paraId="15F107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062" w:type="dxa"/>
            <w:gridSpan w:val="2"/>
            <w:noWrap w:val="0"/>
            <w:vAlign w:val="center"/>
          </w:tcPr>
          <w:p w14:paraId="009EEA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采购环保、低碳、绿色货物</w:t>
            </w:r>
          </w:p>
        </w:tc>
        <w:tc>
          <w:tcPr>
            <w:tcW w:w="1155" w:type="dxa"/>
            <w:noWrap w:val="0"/>
            <w:vAlign w:val="center"/>
          </w:tcPr>
          <w:p w14:paraId="360BE7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097" w:type="dxa"/>
            <w:noWrap w:val="0"/>
            <w:vAlign w:val="center"/>
          </w:tcPr>
          <w:p w14:paraId="669902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692" w:type="dxa"/>
            <w:noWrap w:val="0"/>
            <w:vAlign w:val="center"/>
          </w:tcPr>
          <w:p w14:paraId="46CF6D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16" w:type="dxa"/>
            <w:noWrap w:val="0"/>
            <w:vAlign w:val="center"/>
          </w:tcPr>
          <w:p w14:paraId="0D994E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126" w:type="dxa"/>
            <w:noWrap w:val="0"/>
            <w:vAlign w:val="center"/>
          </w:tcPr>
          <w:p w14:paraId="7DC79D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坚持绿色可持续发展原则。</w:t>
            </w:r>
          </w:p>
        </w:tc>
      </w:tr>
      <w:tr w14:paraId="4A1BF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21" w:type="dxa"/>
            <w:vMerge w:val="continue"/>
            <w:noWrap w:val="0"/>
            <w:vAlign w:val="center"/>
          </w:tcPr>
          <w:p w14:paraId="4C085F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7" w:type="dxa"/>
            <w:noWrap w:val="0"/>
            <w:vAlign w:val="center"/>
          </w:tcPr>
          <w:p w14:paraId="6A5343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 w14:paraId="34C944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 w14:paraId="47589B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66" w:type="dxa"/>
            <w:noWrap w:val="0"/>
            <w:vAlign w:val="center"/>
          </w:tcPr>
          <w:p w14:paraId="64D9C3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062" w:type="dxa"/>
            <w:gridSpan w:val="2"/>
            <w:noWrap w:val="0"/>
            <w:vAlign w:val="center"/>
          </w:tcPr>
          <w:p w14:paraId="54A6A2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</w:t>
            </w:r>
          </w:p>
        </w:tc>
        <w:tc>
          <w:tcPr>
            <w:tcW w:w="1155" w:type="dxa"/>
            <w:noWrap w:val="0"/>
            <w:vAlign w:val="center"/>
          </w:tcPr>
          <w:p w14:paraId="2C6965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≥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1097" w:type="dxa"/>
            <w:noWrap w:val="0"/>
            <w:vAlign w:val="center"/>
          </w:tcPr>
          <w:p w14:paraId="441ABA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≥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692" w:type="dxa"/>
            <w:noWrap w:val="0"/>
            <w:vAlign w:val="center"/>
          </w:tcPr>
          <w:p w14:paraId="4FA977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16" w:type="dxa"/>
            <w:noWrap w:val="0"/>
            <w:vAlign w:val="center"/>
          </w:tcPr>
          <w:p w14:paraId="3204BF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126" w:type="dxa"/>
            <w:noWrap w:val="0"/>
            <w:vAlign w:val="center"/>
          </w:tcPr>
          <w:p w14:paraId="0FA1EC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FA27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28" w:type="dxa"/>
            <w:gridSpan w:val="7"/>
            <w:noWrap w:val="0"/>
            <w:vAlign w:val="center"/>
          </w:tcPr>
          <w:p w14:paraId="41A791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692" w:type="dxa"/>
            <w:noWrap w:val="0"/>
            <w:vAlign w:val="center"/>
          </w:tcPr>
          <w:p w14:paraId="0C540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16" w:type="dxa"/>
            <w:noWrap w:val="0"/>
            <w:vAlign w:val="center"/>
          </w:tcPr>
          <w:p w14:paraId="60932E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96</w:t>
            </w:r>
          </w:p>
        </w:tc>
        <w:tc>
          <w:tcPr>
            <w:tcW w:w="1126" w:type="dxa"/>
            <w:noWrap w:val="0"/>
            <w:vAlign w:val="center"/>
          </w:tcPr>
          <w:p w14:paraId="23FA43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 w14:paraId="421F0BAD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default" w:ascii="Times New Roman" w:hAnsi="Times New Roman" w:eastAsia="仿宋_GB2312" w:cs="Times New Roman"/>
          <w:snapToGrid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粟菲菲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填报日期：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2024年8月9日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联系电话：</w:t>
      </w:r>
      <w:r>
        <w:rPr>
          <w:rFonts w:hint="eastAsia" w:eastAsia="仿宋_GB2312"/>
          <w:szCs w:val="36"/>
          <w:lang w:val="en-US" w:eastAsia="zh-CN"/>
        </w:rPr>
        <w:t>8876550</w:t>
      </w:r>
      <w:r>
        <w:rPr>
          <w:rFonts w:eastAsia="仿宋_GB2312"/>
          <w:szCs w:val="36"/>
        </w:rPr>
        <w:t xml:space="preserve"> 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</w:p>
    <w:p w14:paraId="0038DFB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2NTc4NWY0Y2I1ZDkyNGVhOGFmZDExZDJmMDg1MGEifQ=="/>
  </w:docVars>
  <w:rsids>
    <w:rsidRoot w:val="79A46B02"/>
    <w:rsid w:val="3E334D1F"/>
    <w:rsid w:val="42C55A91"/>
    <w:rsid w:val="4EC47D6A"/>
    <w:rsid w:val="699F1451"/>
    <w:rsid w:val="79A46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621</Words>
  <Characters>738</Characters>
  <Lines>0</Lines>
  <Paragraphs>0</Paragraphs>
  <TotalTime>22</TotalTime>
  <ScaleCrop>false</ScaleCrop>
  <LinksUpToDate>false</LinksUpToDate>
  <CharactersWithSpaces>800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2024-07-31T03:07:00Z</dcterms:created>
  <dc:creator>邻家小菲</dc:creator>
  <cp:lastModifiedBy>邻家小菲</cp:lastModifiedBy>
  <dcterms:modified xsi:type="dcterms:W3CDTF">2024-08-09T09:13:52Z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2E4218C57F814778A14A6EC0B648919F_11</vt:lpwstr>
  </property>
</Properties>
</file>