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262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2FF12E1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04806D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58A8125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2D1B5A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1C1B582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政府招投标采购项目主要是用于开展政府招投标采购业务，为了更好的服务全县采购业务需求。</w:t>
      </w:r>
    </w:p>
    <w:p w14:paraId="5F7F061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2EF5E35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负责政府采购信息的收集、发布、统计、分析和编制政府采购目录，按公开招标采购方式和非公开招标采购方式进行政府采购。</w:t>
      </w:r>
    </w:p>
    <w:p w14:paraId="31A5C0E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1BB50F3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 xml:space="preserve">    该项目由会同县政府采购中心进行组织管理。</w:t>
      </w:r>
    </w:p>
    <w:p w14:paraId="7BD4358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5A2274F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62315B1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2517A139">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项目资金来源于财政资金，由本单位年初进行项目预算申报，由县财政局进行批复后使用。</w:t>
      </w:r>
    </w:p>
    <w:p w14:paraId="6D495322">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0E52580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rightChars="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2023年度项目资金6.4万元已全部到位。</w:t>
      </w:r>
    </w:p>
    <w:p w14:paraId="21EF4E65">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18D1EC15">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度政府采购招标项目资金6.4万元，截止2023年12月，差旅费支出1万元，劳务费支出1.22万元，办公费支出1.55万元，印刷费支出0.09万元，其他交通费支出0.8万元，信息网络及软件购置更新费用支出1.47万元，培训费支出0.1万元，邮电费支出0.04万元，结余0.4万元。</w:t>
      </w:r>
    </w:p>
    <w:p w14:paraId="0E6C928C">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leftChars="0"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4E7C9023">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①符合国家财经法规和财务管理以及有关专项资金管理办法的规定。</w:t>
      </w:r>
    </w:p>
    <w:p w14:paraId="23B80CD3">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根据《会计法》制订了会同县政府采购中心财务报帐、现金管理、往来帐管理、政府采购、固定资产管理、合同管理、档案管理等内部控制制度。</w:t>
      </w:r>
    </w:p>
    <w:p w14:paraId="0E0703AC">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该制度由财务室、办公室定期检查并落实。遵照《会计法》、会财购[2016]36号、会财购[2017]70号、71号文件精神，专项资金专款专用，由业务股室制订项目资金使用计划，分管领导审核，主任办公会议研究批准，依据政府采购招标程序，按政府采购招标项目进度拨款，项目资金专款专用。政府采购项目的资金管理办法符合国家财经法规和财务管理以及有关专项资金管理办法的规定。</w:t>
      </w:r>
    </w:p>
    <w:p w14:paraId="0662C7C8">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②资金的拨付有完整的审批程序和手续。</w:t>
      </w:r>
    </w:p>
    <w:p w14:paraId="0F889A08">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资金项目预算细化审批表都要经过单位领导、县财政局和各相关业务部门的签字和核实。</w:t>
      </w:r>
    </w:p>
    <w:p w14:paraId="774F5F78">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项目资金使用依据年初预算和会财购[2017]71号规定，用于政府采购招标和发放政府采购项目评审专家的评审劳务费等。</w:t>
      </w:r>
    </w:p>
    <w:p w14:paraId="6B9968CB">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资金拨付由县财政相关部门核实审批，有单位领导审批、经办人签字，财务核实，再拨付。</w:t>
      </w:r>
    </w:p>
    <w:p w14:paraId="5DD5161D">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③项目的重大开支经过评估论证。</w:t>
      </w:r>
    </w:p>
    <w:p w14:paraId="6AFC7FF0">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④符合项目预算批复或合同规定的用途。</w:t>
      </w:r>
    </w:p>
    <w:p w14:paraId="4BC55C8B">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政府采购招标经费依据年初预算和会财购[2017]71号等规定，用于政府采购招标和发放政府采购项目评审专家的评审劳务费等。</w:t>
      </w:r>
    </w:p>
    <w:p w14:paraId="43414B75">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⑤不存在截留、挤占、挪用、虚列支出等情况。</w:t>
      </w:r>
    </w:p>
    <w:p w14:paraId="23AB921E">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⑥遵守财经纪律和厉行节约的原则，规范使用政府采购项目财政资金。</w:t>
      </w:r>
    </w:p>
    <w:p w14:paraId="5AE4069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5511CFA1">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（1）项目组织情况</w:t>
      </w:r>
    </w:p>
    <w:p w14:paraId="63589DFC">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依据采购单位经政府采购监督管理办公室审批的《会同县政府采购项目计划预算申报表》、与采购单位签订《政府采购项目委托代理协议书》、网上发布政府采购公告、制作招标文件、评标文件、组织专家评委对参加投标的供应商进行资格预审和开标评标评审、网上结果公示，中标通知书、项目合同书、技术务定等资料齐全并及时归档。</w:t>
      </w:r>
    </w:p>
    <w:p w14:paraId="485EE66B">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采购的评审情况分两种，一是在怀化市进行专家评审的就在怀化市财政局监督管理办公室的专家库随机抽取相关专家及人数，在怀化市资源交易中心开标室评标室开标评标；二是在本县进行专家评审的就在县财政局监督管理办公室的专家库随机抽取相关专家及人数，在县资源交易中心开标室评标室开标评标。采购单位出具评委的由采购单位出具授权委托书，全过程有县财政局监督管理办公室监督人员、采购单位采购人和监督人、采购中心主持人和记录人参加。</w:t>
      </w:r>
    </w:p>
    <w:p w14:paraId="2A207376">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（2）项目管理情况</w:t>
      </w:r>
    </w:p>
    <w:p w14:paraId="35AE22BA">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遵照执行《中华人民共和国政府采购法》、《中华人民共和国政府采购法实施条例》、《政府采购非招标采购方式管理办法》（财政部第74号令）、《政府采购货物和服务招标投标管理办法》财政部第87号令）、财政部《政府采购评审专家管理办法》（财库[2016]198号），遵照执行会财购[2016]36号、会财购[2017]70号、71号文件精神及相关法律法规和业务管理规定，制定了《采购中心行风建设实施方案》《采购中心服务承诺》等相关制度，项目调整及支出调整手续完备，采购单位申报政府采购项目实施计划备案表，政府采购招标管理办公室审批采购方式，招投标公告、文件、项目合同书、技术务定等资料齐全并及时归档。</w:t>
      </w:r>
    </w:p>
    <w:p w14:paraId="6179D0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0011EF1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14FCFEF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2023年共组织集中采购74次，共实现集中采购额9215.04万元，节约资金138.53万元，节约率1.5%。</w:t>
      </w:r>
    </w:p>
    <w:p w14:paraId="29B2699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14:paraId="772CA63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公开招标、竞争性谈判、竞争性磋商、询价采购、单一来源采购完成率达到100%，资金使用率100%。超额完成政府采购招标业务项目年度预算绩效目标5千万的任务，为更有效提高财政资金使用效益、维护国家和社会公共利益、保护政府采购当事人合法利益、促进党风廉政建设以及构建公开、公平、公正、和谐的政府采购环境作出了积极贡献。</w:t>
      </w:r>
    </w:p>
    <w:p w14:paraId="4E0129D6">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1FAB442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186A3ED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一是为了说明政府采购业务开展的现实状态是否偏离目标。二是总结经验，为改善管理、纠正目标与实际的偏差提供依据。</w:t>
      </w:r>
    </w:p>
    <w:p w14:paraId="72CF13C2">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 w:name="_Toc1184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p>
    <w:p w14:paraId="4B08041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被评价单位为会同县政府采购中心，绩效评价范围为成本指标、产出指标、效益指标和满意度指标。评价时段为2023年1月至12月。</w:t>
      </w:r>
    </w:p>
    <w:p w14:paraId="03544DD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 w:name="_Toc31835"/>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225A583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1.绩效评价原则</w:t>
      </w:r>
    </w:p>
    <w:p w14:paraId="66FB0F5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主要采取重要性原则、系统性原则以及经济性原则。将定量指标与定性指标相结合，系统反映项目所产生的社会效益、经济效益、环境效益和可持续影响等，做到通俗易懂、简便易行。</w:t>
      </w:r>
    </w:p>
    <w:p w14:paraId="48CEAFB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2.评价指标体系</w:t>
      </w:r>
    </w:p>
    <w:p w14:paraId="721611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绩效评价指标体系通常包括具体指标、指标权重指标解释、数据来源、评价标准及评分方法等。</w:t>
      </w:r>
    </w:p>
    <w:p w14:paraId="290623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3.评价方法</w:t>
      </w:r>
    </w:p>
    <w:p w14:paraId="015F08F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Times New Roman" w:eastAsia="仿宋_GB2312" w:cs="Times New Roman"/>
          <w:color w:val="auto"/>
          <w:sz w:val="30"/>
          <w:szCs w:val="30"/>
          <w:lang w:val="en-US" w:eastAsia="zh-CN"/>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绩效评价方法主要采用成本效益分析法、比较法、因素分析法、最低成本法、公众评判法等。</w:t>
      </w:r>
    </w:p>
    <w:p w14:paraId="47D44005">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78DFF41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3FAC0C5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坚持公平、公开、公正的原则，保护投标供应商的合法权益和力求为采购单位采购最优质的工程、货物和服务都效果明显。</w:t>
      </w:r>
    </w:p>
    <w:p w14:paraId="1B165718">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p>
    <w:p w14:paraId="60F8832E">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项目实施对生态环境所带来的直接或间接影响效果明显。</w:t>
      </w:r>
    </w:p>
    <w:p w14:paraId="733166F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79FF4369">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无。</w:t>
      </w:r>
    </w:p>
    <w:p w14:paraId="767A386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24F7967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采购单位和投标供应商对本单位政府采购工作的满意程度和满意率达98%以上。</w:t>
      </w:r>
    </w:p>
    <w:p w14:paraId="4DBAA5B8">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63F10BA3">
      <w:pPr>
        <w:pStyle w:val="5"/>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经自评，项目已基本按照预算内容支出，达到预期绩效目标。根据对政府采购项目绩效评价共性指标体系自检自评结果统计：2023年我中心政府采购项目绩效自评为“优”。</w:t>
      </w:r>
    </w:p>
    <w:p w14:paraId="45FD088E">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5" w:name="_Toc27541"/>
      <w:bookmarkStart w:id="6" w:name="_Toc16332"/>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190D425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p>
    <w:p w14:paraId="1A396D77">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政府招投标采购项目基于为全县采购业务需求服务</w:t>
      </w:r>
      <w:bookmarkStart w:id="8" w:name="_Toc2841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14:paraId="68AB787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4D58A3E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9"/>
    </w:p>
    <w:p w14:paraId="2241F18A">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资金项目预算细化审批表都要经过单位领导、县财政局和各相关业务部门的签字和核实。</w:t>
      </w:r>
    </w:p>
    <w:p w14:paraId="1FEADBD0">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项目资金使用依据年初预算和会财购[2017]71号规定，用于政府采购招标和发放政府采购项目评审专家的评审劳务费等。</w:t>
      </w:r>
    </w:p>
    <w:p w14:paraId="571BAE27">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资金拨付由县财政相关部门核实审批，有单位领导审批、经办人签字，财务核实，再拨付。</w:t>
      </w:r>
    </w:p>
    <w:p w14:paraId="65CA151A">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0" w:name="_Toc12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2.项目实施</w:t>
      </w:r>
      <w:bookmarkEnd w:id="10"/>
    </w:p>
    <w:p w14:paraId="1A5D0098">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依据采购单位经政府采购监督管理办公室审批的《会同县政府采购项目计划预算申报表》、与采购单位签订《政府采购项目委托代理协议书》、网上发布政府采购公告、制作招标文件、评标文件、组织专家评委对参加投标的供应商进行资格预审和开标评标评审、网上结果公示。</w:t>
      </w:r>
    </w:p>
    <w:p w14:paraId="5B02CAFB">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1"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00817215">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p>
    <w:p w14:paraId="0F0A231F">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2023年度完成集中采购74次，共实现集中采购额9215.04万元，完成全年政府采购任务5千万元。</w:t>
      </w:r>
    </w:p>
    <w:p w14:paraId="2B42F85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3"/>
    </w:p>
    <w:p w14:paraId="20CE5D11">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公开招标、竞争性谈判、竞争性磋商、询价采购，单一来源等多种采购方式严格按政府采购法规定程序办理。</w:t>
      </w:r>
    </w:p>
    <w:p w14:paraId="4C20FA44">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594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4"/>
    </w:p>
    <w:p w14:paraId="2195E5A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完成政府采购招标项目6.4万元。</w:t>
      </w:r>
    </w:p>
    <w:p w14:paraId="16C0DA3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5"/>
    </w:p>
    <w:p w14:paraId="71FAE455">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2023年12月前完成了全年政府采购任务。</w:t>
      </w:r>
    </w:p>
    <w:p w14:paraId="034A953D">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6" w:name="_Toc12690"/>
      <w:bookmarkStart w:id="17" w:name="_Toc3072"/>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p>
    <w:p w14:paraId="38328AFA">
      <w:pPr>
        <w:pStyle w:val="6"/>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执行政府采购预算时，结算金额低于财政预算金额，厉行节约资金，努力使节约率达1%以上。</w:t>
      </w:r>
    </w:p>
    <w:p w14:paraId="2B8A2BAB">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8" w:name="_Toc390267055"/>
      <w:bookmarkStart w:id="19" w:name="_Toc390096931"/>
      <w:bookmarkStart w:id="20" w:name="_Toc12414"/>
      <w:bookmarkStart w:id="21" w:name="_Toc24241"/>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162C1140">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p>
    <w:p w14:paraId="7872A18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1.拓展采购业务范围,提高工作效率；</w:t>
      </w:r>
    </w:p>
    <w:p w14:paraId="29C220DA">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2.完善操作规程，确保政府采购公开、公平、公正；</w:t>
      </w:r>
    </w:p>
    <w:p w14:paraId="4D542D7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3.强化监督，依法规范。</w:t>
      </w:r>
    </w:p>
    <w:p w14:paraId="0DFC4CE3">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4" w:name="_Toc6772"/>
      <w:bookmarkStart w:id="25" w:name="_Toc2597"/>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p>
    <w:p w14:paraId="25D3371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26" w:name="_Toc16271"/>
      <w:bookmarkStart w:id="27" w:name="_Toc29278"/>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一是机制不够健全。二是采购规模还需扩大。三是宣传力度不够。四是电子化政府采购配套措施不到位。五是职工素质有待提高。</w:t>
      </w:r>
    </w:p>
    <w:p w14:paraId="5868E998">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775490F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firstLine="540" w:firstLineChars="200"/>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ascii="宋体" w:hAnsi="宋体" w:eastAsia="宋体" w:cs="宋体"/>
          <w:color w:val="222222"/>
          <w:kern w:val="0"/>
          <w:sz w:val="27"/>
          <w:szCs w:val="27"/>
        </w:rPr>
        <w:t>　</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一是严格实行采管分离制度；二是加强人员培训学习；三是完善专家管理。</w:t>
      </w:r>
    </w:p>
    <w:p w14:paraId="13DDBD1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bookmarkStart w:id="28" w:name="_GoBack"/>
      <w:bookmarkEnd w:id="28"/>
    </w:p>
    <w:p w14:paraId="101CDBC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right="0"/>
        <w:rPr>
          <w:rFonts w:hint="eastAsia" w:ascii="仿宋_GB2312" w:eastAsia="仿宋_GB2312" w:cs="仿宋_GB2312"/>
          <w:i w:val="0"/>
          <w:iCs w:val="0"/>
          <w:caps w:val="0"/>
          <w:color w:val="000000"/>
          <w:spacing w:val="0"/>
          <w:sz w:val="24"/>
          <w:szCs w:val="24"/>
          <w:shd w:val="clear" w:color="auto" w:fill="FFFFFF"/>
          <w:lang w:val="en-US" w:eastAsia="zh-CN"/>
        </w:rPr>
      </w:pPr>
    </w:p>
    <w:p w14:paraId="33C380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eastAsia" w:ascii="仿宋_GB2312" w:hAnsi="仿宋_GB2312" w:eastAsia="仿宋_GB2312" w:cs="仿宋_GB2312"/>
          <w:i w:val="0"/>
          <w:iCs w:val="0"/>
          <w:caps w:val="0"/>
          <w:color w:val="000000"/>
          <w:spacing w:val="0"/>
          <w:sz w:val="32"/>
          <w:szCs w:val="32"/>
          <w:shd w:val="clear" w:color="auto" w:fill="FFFFFF"/>
          <w:lang w:val="en-US" w:eastAsia="zh-CN"/>
        </w:rPr>
      </w:pPr>
    </w:p>
    <w:p w14:paraId="2C691F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小标宋_GBK">
    <w:altName w:val="Arial Unicode MS"/>
    <w:panose1 w:val="02000000000000000000"/>
    <w:charset w:val="86"/>
    <w:family w:val="auto"/>
    <w:pitch w:val="default"/>
    <w:sig w:usb0="00000000" w:usb1="00000000"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218B7"/>
    <w:multiLevelType w:val="singleLevel"/>
    <w:tmpl w:val="679218B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NTc4NWY0Y2I1ZDkyNGVhOGFmZDExZDJmMDg1MGEifQ=="/>
  </w:docVars>
  <w:rsids>
    <w:rsidRoot w:val="647F275F"/>
    <w:rsid w:val="0A5F1617"/>
    <w:rsid w:val="21A77173"/>
    <w:rsid w:val="28F23013"/>
    <w:rsid w:val="2A010BF8"/>
    <w:rsid w:val="5B7D4605"/>
    <w:rsid w:val="647F275F"/>
    <w:rsid w:val="64A51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2"/>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2514</Words>
  <Characters>2647</Characters>
  <Lines>0</Lines>
  <Paragraphs>0</Paragraphs>
  <TotalTime>0</TotalTime>
  <ScaleCrop>false</ScaleCrop>
  <LinksUpToDate>false</LinksUpToDate>
  <CharactersWithSpaces>2652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2024-07-31T03:08:00Z</dcterms:created>
  <dc:creator>邻家小菲</dc:creator>
  <cp:lastModifiedBy>邻家小菲</cp:lastModifiedBy>
  <dcterms:modified xsi:type="dcterms:W3CDTF">2024-08-09T08:29:06Z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93F2F24ECC3D473B9B0FE1561FD12B78_11</vt:lpwstr>
  </property>
</Properties>
</file>