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shd w:val="clear"/>
        <w:kinsoku/>
        <w:wordWrap/>
        <w:overflowPunct/>
        <w:topLinePunct w:val="0"/>
        <w:bidi w:val="0"/>
        <w:snapToGrid/>
        <w:spacing w:line="580" w:lineRule="exact"/>
        <w:jc w:val="center"/>
        <w:rPr>
          <w:rFonts w:hint="eastAsia" w:ascii="宋体" w:hAnsi="宋体" w:cs="黑体"/>
          <w:b/>
          <w:color w:val="000000"/>
          <w:kern w:val="0"/>
          <w:sz w:val="44"/>
          <w:szCs w:val="44"/>
          <w:highlight w:val="none"/>
          <w:lang w:eastAsia="zh-CN"/>
        </w:rPr>
      </w:pPr>
      <w:r>
        <w:rPr>
          <w:rFonts w:hint="eastAsia" w:ascii="宋体" w:hAnsi="宋体" w:cs="黑体"/>
          <w:b/>
          <w:color w:val="000000"/>
          <w:kern w:val="0"/>
          <w:sz w:val="44"/>
          <w:szCs w:val="44"/>
          <w:highlight w:val="none"/>
          <w:lang w:eastAsia="zh-CN"/>
        </w:rPr>
        <w:t>中共会同县委宣传部</w:t>
      </w:r>
    </w:p>
    <w:p>
      <w:pPr>
        <w:keepNext w:val="0"/>
        <w:keepLines w:val="0"/>
        <w:pageBreakBefore w:val="0"/>
        <w:shd w:val="clear"/>
        <w:kinsoku/>
        <w:wordWrap/>
        <w:overflowPunct/>
        <w:topLinePunct w:val="0"/>
        <w:bidi w:val="0"/>
        <w:snapToGrid/>
        <w:spacing w:line="580" w:lineRule="exact"/>
        <w:jc w:val="center"/>
        <w:rPr>
          <w:rFonts w:hint="eastAsia" w:ascii="宋体" w:hAnsi="宋体" w:cs="黑体"/>
          <w:b/>
          <w:color w:val="000000"/>
          <w:kern w:val="0"/>
          <w:sz w:val="44"/>
          <w:szCs w:val="44"/>
          <w:highlight w:val="none"/>
        </w:rPr>
      </w:pPr>
      <w:r>
        <w:rPr>
          <w:rFonts w:ascii="宋体" w:hAnsi="宋体" w:cs="黑体"/>
          <w:b/>
          <w:color w:val="000000"/>
          <w:kern w:val="0"/>
          <w:sz w:val="44"/>
          <w:szCs w:val="44"/>
          <w:highlight w:val="none"/>
        </w:rPr>
        <w:t>202</w:t>
      </w:r>
      <w:r>
        <w:rPr>
          <w:rFonts w:hint="eastAsia" w:ascii="宋体" w:hAnsi="宋体" w:cs="黑体"/>
          <w:b/>
          <w:color w:val="000000"/>
          <w:kern w:val="0"/>
          <w:sz w:val="44"/>
          <w:szCs w:val="44"/>
          <w:highlight w:val="none"/>
          <w:lang w:val="en-US" w:eastAsia="zh-CN"/>
        </w:rPr>
        <w:t>3</w:t>
      </w:r>
      <w:r>
        <w:rPr>
          <w:rFonts w:hint="eastAsia" w:ascii="宋体" w:hAnsi="宋体" w:cs="黑体"/>
          <w:b/>
          <w:color w:val="000000"/>
          <w:kern w:val="0"/>
          <w:sz w:val="44"/>
          <w:szCs w:val="44"/>
          <w:highlight w:val="none"/>
        </w:rPr>
        <w:t>年度部门整体支出绩效评价报告</w:t>
      </w:r>
    </w:p>
    <w:p>
      <w:pPr>
        <w:keepNext w:val="0"/>
        <w:keepLines w:val="0"/>
        <w:pageBreakBefore w:val="0"/>
        <w:kinsoku/>
        <w:wordWrap/>
        <w:overflowPunct/>
        <w:topLinePunct w:val="0"/>
        <w:bidi w:val="0"/>
        <w:snapToGrid/>
        <w:spacing w:line="580" w:lineRule="exact"/>
        <w:ind w:firstLine="600" w:firstLineChars="200"/>
        <w:rPr>
          <w:rFonts w:hint="eastAsia" w:ascii="仿宋" w:hAnsi="仿宋" w:eastAsia="仿宋" w:cs="仿宋"/>
          <w:sz w:val="30"/>
          <w:szCs w:val="30"/>
          <w:highlight w:val="none"/>
        </w:rPr>
      </w:pP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为进一步规范财政资金管理，强化财政支出绩效理念和责任意识，切实提高财政资金使用效益，根据《中共中央国务院关于全面实施预算绩效管理的意见》（中发〔2018〕34号）</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color w:val="auto"/>
          <w:sz w:val="32"/>
          <w:szCs w:val="32"/>
          <w:highlight w:val="none"/>
          <w:lang w:val="en-US" w:eastAsia="zh-CN"/>
        </w:rPr>
        <w:t>《中共湖南省委办公厅 湖南省人民政府办公厅关于全面实施预算绩效管理的实施意见》（湘办发〔2019〕10号）、会财绩（2024）25号的文件精神，现就做好2023年度整体支出绩效自评如下：</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textAlignment w:val="auto"/>
        <w:rPr>
          <w:rFonts w:hint="default" w:ascii="黑体" w:hAnsi="黑体" w:eastAsia="黑体" w:cs="黑体"/>
          <w:i w:val="0"/>
          <w:iCs w:val="0"/>
          <w:caps w:val="0"/>
          <w:color w:val="000000"/>
          <w:spacing w:val="0"/>
          <w:sz w:val="32"/>
          <w:szCs w:val="32"/>
          <w:highlight w:val="none"/>
          <w:shd w:val="clear" w:color="auto" w:fill="FFFFFF"/>
          <w:lang w:val="en-US" w:eastAsia="zh-CN"/>
        </w:rPr>
      </w:pPr>
      <w:r>
        <w:rPr>
          <w:rFonts w:hint="eastAsia" w:ascii="黑体" w:hAnsi="黑体" w:eastAsia="黑体" w:cs="黑体"/>
          <w:i w:val="0"/>
          <w:iCs w:val="0"/>
          <w:caps w:val="0"/>
          <w:color w:val="000000"/>
          <w:spacing w:val="0"/>
          <w:sz w:val="32"/>
          <w:szCs w:val="32"/>
          <w:highlight w:val="none"/>
          <w:shd w:val="clear" w:color="auto" w:fill="FFFFFF"/>
          <w:lang w:eastAsia="zh-CN"/>
        </w:rPr>
        <w:t>一、</w:t>
      </w:r>
      <w:r>
        <w:rPr>
          <w:rFonts w:hint="eastAsia" w:ascii="黑体" w:hAnsi="黑体" w:eastAsia="黑体" w:cs="黑体"/>
          <w:i w:val="0"/>
          <w:iCs w:val="0"/>
          <w:caps w:val="0"/>
          <w:color w:val="000000"/>
          <w:spacing w:val="0"/>
          <w:sz w:val="32"/>
          <w:szCs w:val="32"/>
          <w:highlight w:val="none"/>
          <w:shd w:val="clear" w:color="auto" w:fill="FFFFFF"/>
        </w:rPr>
        <w:t>部门、单位基本情况</w:t>
      </w:r>
    </w:p>
    <w:p>
      <w:pPr>
        <w:spacing w:line="600" w:lineRule="exact"/>
        <w:ind w:firstLine="640" w:firstLineChars="200"/>
        <w:rPr>
          <w:rFonts w:hint="default" w:ascii="楷体_GB2312" w:eastAsia="楷体_GB2312"/>
          <w:b/>
          <w:kern w:val="0"/>
          <w:sz w:val="32"/>
          <w:szCs w:val="32"/>
          <w:highlight w:val="none"/>
        </w:rPr>
      </w:pPr>
      <w:r>
        <w:rPr>
          <w:rFonts w:hint="eastAsia" w:ascii="楷体_GB2312" w:eastAsia="楷体_GB2312"/>
          <w:b/>
          <w:kern w:val="0"/>
          <w:sz w:val="32"/>
          <w:szCs w:val="32"/>
          <w:highlight w:val="none"/>
          <w:lang w:eastAsia="zh-CN"/>
        </w:rPr>
        <w:t>（一）</w:t>
      </w:r>
      <w:r>
        <w:rPr>
          <w:rFonts w:hint="default" w:ascii="楷体_GB2312" w:eastAsia="楷体_GB2312"/>
          <w:b/>
          <w:kern w:val="0"/>
          <w:sz w:val="32"/>
          <w:szCs w:val="32"/>
          <w:highlight w:val="none"/>
        </w:rPr>
        <w:t>机构设置情况</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部门有内设机构7个，分别为：办公室、理论政策研究室、新闻室（加挂县突发公共事件应急新闻中心牌子）、出版管理室、文化艺术宣教室、意识形态工作指导室、文明创建指导室。县委宣传部所属股级公益一类事业单位1个：县新时代文明实践指导中心。</w:t>
      </w:r>
    </w:p>
    <w:p>
      <w:pPr>
        <w:spacing w:line="600" w:lineRule="exact"/>
        <w:ind w:firstLine="640" w:firstLineChars="200"/>
        <w:rPr>
          <w:rFonts w:hint="default" w:ascii="楷体_GB2312" w:eastAsia="楷体_GB2312"/>
          <w:b/>
          <w:kern w:val="0"/>
          <w:sz w:val="32"/>
          <w:szCs w:val="32"/>
          <w:highlight w:val="none"/>
        </w:rPr>
      </w:pPr>
      <w:r>
        <w:rPr>
          <w:rFonts w:hint="default" w:ascii="楷体_GB2312" w:eastAsia="楷体_GB2312"/>
          <w:b/>
          <w:kern w:val="0"/>
          <w:sz w:val="32"/>
          <w:szCs w:val="32"/>
          <w:highlight w:val="none"/>
        </w:rPr>
        <w:t>（二）人员编制情况</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2023年12月31日，本单位由宣传部本级机关一个，县社科联合署办公一个组成。组织部核定县委宣传部、县社科联机关编制数9人（包括行政编8人，后勤编1人），分别实有6人、1人；核定事业编制数7人（包括全额7人、差额0人、自收自支0人），分别实有7人、0人、0人。</w:t>
      </w:r>
    </w:p>
    <w:p>
      <w:pPr>
        <w:spacing w:line="600" w:lineRule="exact"/>
        <w:ind w:firstLine="640" w:firstLineChars="200"/>
        <w:rPr>
          <w:rFonts w:hint="eastAsia" w:ascii="楷体_GB2312" w:eastAsia="楷体_GB2312"/>
          <w:b/>
          <w:kern w:val="0"/>
          <w:sz w:val="32"/>
          <w:szCs w:val="32"/>
          <w:highlight w:val="none"/>
        </w:rPr>
      </w:pPr>
      <w:r>
        <w:rPr>
          <w:rFonts w:hint="eastAsia" w:ascii="楷体_GB2312" w:eastAsia="楷体_GB2312"/>
          <w:b/>
          <w:kern w:val="0"/>
          <w:sz w:val="32"/>
          <w:szCs w:val="32"/>
          <w:highlight w:val="none"/>
          <w:lang w:eastAsia="zh-CN"/>
        </w:rPr>
        <w:t>（三）</w:t>
      </w:r>
      <w:r>
        <w:rPr>
          <w:rFonts w:hint="eastAsia" w:ascii="楷体_GB2312" w:eastAsia="楷体_GB2312"/>
          <w:b/>
          <w:kern w:val="0"/>
          <w:sz w:val="32"/>
          <w:szCs w:val="32"/>
          <w:highlight w:val="none"/>
        </w:rPr>
        <w:t>主要职责、工作任务及目标</w:t>
      </w:r>
    </w:p>
    <w:p>
      <w:pPr>
        <w:pStyle w:val="17"/>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（一）拟定全县宣传思想工作要点；</w:t>
      </w:r>
    </w:p>
    <w:p>
      <w:pPr>
        <w:pStyle w:val="17"/>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（二）统筹协调全县党的意识形态工作；</w:t>
      </w:r>
    </w:p>
    <w:p>
      <w:pPr>
        <w:pStyle w:val="17"/>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（三）统筹指导协调全县理论学习、理论宣传、理论研究工作，组织推动理论武装工作；</w:t>
      </w:r>
    </w:p>
    <w:p>
      <w:pPr>
        <w:pStyle w:val="17"/>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（四）负责规划组织全局性思想政治工作；</w:t>
      </w:r>
    </w:p>
    <w:p>
      <w:pPr>
        <w:pStyle w:val="17"/>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（五）统筹分析研判和引导社会舆论；</w:t>
      </w:r>
    </w:p>
    <w:p>
      <w:pPr>
        <w:pStyle w:val="17"/>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（六）拟定全县新闻出版业的管理政策并督促落实；</w:t>
      </w:r>
    </w:p>
    <w:p>
      <w:pPr>
        <w:pStyle w:val="17"/>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（七）从宏观上统筹指导协调全县互联网宣传和信息内容管理工作；</w:t>
      </w:r>
    </w:p>
    <w:p>
      <w:pPr>
        <w:pStyle w:val="17"/>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（八）统筹指导协调全县精神文化产品的创作、生产；</w:t>
      </w:r>
    </w:p>
    <w:p>
      <w:pPr>
        <w:pStyle w:val="17"/>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（九）负责管理全县电影行政事务；</w:t>
      </w:r>
    </w:p>
    <w:p>
      <w:pPr>
        <w:pStyle w:val="17"/>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（十）统筹协调全县对外宣传工作，指导协调对外文化交流工作；</w:t>
      </w:r>
    </w:p>
    <w:p>
      <w:pPr>
        <w:pStyle w:val="17"/>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（十一）统筹协调组织开展全县新闻发布工作，承担县委新闻发布有关组织协调工作；</w:t>
      </w:r>
      <w:bookmarkStart w:id="0" w:name="_GoBack"/>
      <w:bookmarkEnd w:id="0"/>
    </w:p>
    <w:p>
      <w:pPr>
        <w:pStyle w:val="17"/>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（十二）负责落实中央、省、市、县精神文明建设指导委员会工作部署，拟定全县精神文明建设工作规划并组织实施；</w:t>
      </w:r>
    </w:p>
    <w:p>
      <w:pPr>
        <w:pStyle w:val="17"/>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（十三）负责组织开展全县宣传思想系统干部教育培训和人才工作；</w:t>
      </w:r>
    </w:p>
    <w:p>
      <w:pPr>
        <w:pStyle w:val="17"/>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（十四）完成县委交办的其他任务。</w:t>
      </w:r>
    </w:p>
    <w:p>
      <w:pPr>
        <w:spacing w:line="600" w:lineRule="exact"/>
        <w:ind w:firstLine="640" w:firstLineChars="200"/>
        <w:rPr>
          <w:rFonts w:hint="default" w:ascii="楷体_GB2312" w:eastAsia="楷体_GB2312"/>
          <w:b/>
          <w:kern w:val="0"/>
          <w:sz w:val="32"/>
          <w:szCs w:val="32"/>
          <w:highlight w:val="none"/>
        </w:rPr>
      </w:pPr>
      <w:r>
        <w:rPr>
          <w:rFonts w:hint="eastAsia" w:ascii="楷体_GB2312" w:eastAsia="楷体_GB2312"/>
          <w:b/>
          <w:kern w:val="0"/>
          <w:sz w:val="32"/>
          <w:szCs w:val="32"/>
          <w:highlight w:val="none"/>
          <w:lang w:eastAsia="zh-CN"/>
        </w:rPr>
        <w:t>（四）</w:t>
      </w:r>
      <w:r>
        <w:rPr>
          <w:rFonts w:hint="default" w:ascii="楷体_GB2312" w:eastAsia="楷体_GB2312"/>
          <w:b/>
          <w:kern w:val="0"/>
          <w:sz w:val="32"/>
          <w:szCs w:val="32"/>
          <w:highlight w:val="none"/>
        </w:rPr>
        <w:t>绩效目标设定情况</w:t>
      </w:r>
    </w:p>
    <w:p>
      <w:pPr>
        <w:pStyle w:val="17"/>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2023年，认真履行部门“三定”方案确定的职责。根据我单位年初计划确定的重点工作任务，本单位通过对财政资金的使用，没有存在截留、挤占、挪用、虚列支出等情况；基础数据信息和会计信息资料真实、完整、准确。并按规定内容公开预、决算信息。绩效目标完成情况:完成良好。</w:t>
      </w:r>
    </w:p>
    <w:p>
      <w:pPr>
        <w:pStyle w:val="17"/>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本单位绩效目标实现情况:狠抓资金使用效益；资金使用社会效益好。</w:t>
      </w:r>
    </w:p>
    <w:p>
      <w:pPr>
        <w:pStyle w:val="17"/>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b/>
          <w:bCs/>
          <w:sz w:val="32"/>
          <w:szCs w:val="32"/>
          <w:highlight w:val="none"/>
          <w:lang w:val="en-US" w:eastAsia="zh-CN"/>
        </w:rPr>
        <w:t>（一）社会效益。</w:t>
      </w:r>
      <w:r>
        <w:rPr>
          <w:rFonts w:hint="eastAsia" w:ascii="Times New Roman" w:hAnsi="Times New Roman" w:eastAsia="仿宋_GB2312"/>
          <w:sz w:val="32"/>
          <w:szCs w:val="32"/>
          <w:highlight w:val="none"/>
          <w:lang w:val="en-US" w:eastAsia="zh-CN"/>
        </w:rPr>
        <w:t>通过举办形式多样的文旅融合活动和群众喜闻乐见的群众性文化活动，不断</w:t>
      </w:r>
      <w:r>
        <w:rPr>
          <w:rFonts w:hint="eastAsia" w:ascii="仿宋_GB2312" w:hAnsi="楷体" w:eastAsia="仿宋_GB2312" w:cs="楷体"/>
          <w:b w:val="0"/>
          <w:bCs/>
          <w:color w:val="000000" w:themeColor="text1"/>
          <w:spacing w:val="-6"/>
          <w:kern w:val="2"/>
          <w:sz w:val="32"/>
          <w:szCs w:val="32"/>
          <w:highlight w:val="none"/>
          <w:lang w:val="en-US" w:eastAsia="zh-CN" w:bidi="ar-SA"/>
        </w:rPr>
        <w:t>丰富群众精神文化生活，</w:t>
      </w:r>
      <w:r>
        <w:rPr>
          <w:rFonts w:hint="eastAsia" w:ascii="Times New Roman" w:hAnsi="Times New Roman" w:eastAsia="仿宋_GB2312"/>
          <w:sz w:val="32"/>
          <w:szCs w:val="32"/>
          <w:highlight w:val="none"/>
          <w:lang w:val="en-US" w:eastAsia="zh-CN"/>
        </w:rPr>
        <w:t>增强人民获得感、幸福感，</w:t>
      </w:r>
      <w:r>
        <w:rPr>
          <w:rFonts w:hint="eastAsia" w:ascii="Times New Roman" w:hAnsi="Times New Roman" w:eastAsia="仿宋_GB2312" w:cs="Times New Roman"/>
          <w:color w:val="auto"/>
          <w:kern w:val="0"/>
          <w:sz w:val="32"/>
          <w:szCs w:val="32"/>
          <w:highlight w:val="none"/>
          <w:lang w:val="en-US" w:eastAsia="zh-CN"/>
        </w:rPr>
        <w:t>积极推进文旅融合，</w:t>
      </w:r>
      <w:r>
        <w:rPr>
          <w:rFonts w:hint="eastAsia" w:ascii="Times New Roman" w:hAnsi="Times New Roman" w:eastAsia="仿宋_GB2312"/>
          <w:sz w:val="32"/>
          <w:szCs w:val="32"/>
          <w:highlight w:val="none"/>
          <w:lang w:val="en-US" w:eastAsia="zh-CN"/>
        </w:rPr>
        <w:t>较好地促进了县域经济发展。</w:t>
      </w:r>
    </w:p>
    <w:p>
      <w:pPr>
        <w:pStyle w:val="17"/>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b/>
          <w:bCs/>
          <w:sz w:val="32"/>
          <w:szCs w:val="32"/>
          <w:highlight w:val="none"/>
          <w:lang w:val="en-US" w:eastAsia="zh-CN"/>
        </w:rPr>
        <w:t>（二）生态效益。</w:t>
      </w:r>
      <w:r>
        <w:rPr>
          <w:rFonts w:hint="eastAsia" w:ascii="Times New Roman" w:hAnsi="Times New Roman" w:eastAsia="仿宋_GB2312"/>
          <w:sz w:val="32"/>
          <w:szCs w:val="32"/>
          <w:highlight w:val="none"/>
          <w:lang w:val="en-US" w:eastAsia="zh-CN"/>
        </w:rPr>
        <w:t>为保障县域社会经济和长期平稳发展提供强大精神动力和舆论支持。</w:t>
      </w:r>
    </w:p>
    <w:p>
      <w:pPr>
        <w:pStyle w:val="17"/>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b/>
          <w:bCs/>
          <w:sz w:val="32"/>
          <w:szCs w:val="32"/>
          <w:highlight w:val="none"/>
          <w:lang w:val="en-US" w:eastAsia="zh-CN"/>
        </w:rPr>
        <w:t>（三）经济效益。</w:t>
      </w:r>
      <w:r>
        <w:rPr>
          <w:rFonts w:hint="eastAsia" w:ascii="Times New Roman" w:hAnsi="Times New Roman" w:eastAsia="仿宋_GB2312"/>
          <w:sz w:val="32"/>
          <w:szCs w:val="32"/>
          <w:highlight w:val="none"/>
          <w:lang w:val="en-US" w:eastAsia="zh-CN"/>
        </w:rPr>
        <w:t>促进当地经济发展和社会稳定起到良好的作用。</w:t>
      </w:r>
    </w:p>
    <w:p>
      <w:pPr>
        <w:keepNext w:val="0"/>
        <w:keepLines w:val="0"/>
        <w:pageBreakBefore w:val="0"/>
        <w:numPr>
          <w:ilvl w:val="0"/>
          <w:numId w:val="0"/>
        </w:numPr>
        <w:kinsoku/>
        <w:wordWrap/>
        <w:overflowPunct/>
        <w:topLinePunct w:val="0"/>
        <w:autoSpaceDE/>
        <w:autoSpaceDN/>
        <w:bidi w:val="0"/>
        <w:adjustRightInd/>
        <w:snapToGrid w:val="0"/>
        <w:spacing w:line="520" w:lineRule="exact"/>
        <w:ind w:firstLine="640" w:firstLineChars="200"/>
        <w:textAlignment w:val="auto"/>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pPr>
      <w:r>
        <w:rPr>
          <w:rFonts w:hint="eastAsia" w:ascii="黑体" w:hAnsi="黑体" w:eastAsia="黑体" w:cs="黑体"/>
          <w:i w:val="0"/>
          <w:iCs w:val="0"/>
          <w:caps w:val="0"/>
          <w:color w:val="000000"/>
          <w:spacing w:val="0"/>
          <w:kern w:val="0"/>
          <w:sz w:val="32"/>
          <w:szCs w:val="32"/>
          <w:highlight w:val="none"/>
          <w:shd w:val="clear" w:color="auto" w:fill="FFFFFF"/>
          <w:lang w:val="en-US" w:eastAsia="zh-CN" w:bidi="ar"/>
        </w:rPr>
        <w:t>二、部门整体支出管理及使用情况</w:t>
      </w:r>
    </w:p>
    <w:p>
      <w:pPr>
        <w:pStyle w:val="8"/>
        <w:numPr>
          <w:ilvl w:val="0"/>
          <w:numId w:val="0"/>
        </w:numPr>
        <w:spacing w:before="0" w:beforeAutospacing="0" w:after="0" w:afterAutospacing="0" w:line="560" w:lineRule="exact"/>
        <w:ind w:right="0" w:rightChars="0" w:firstLine="640" w:firstLineChars="200"/>
        <w:rPr>
          <w:rFonts w:hint="eastAsia" w:ascii="楷体_GB2312" w:hAnsi="Times New Roman" w:eastAsia="楷体_GB2312" w:cs="楷体_GB2312"/>
          <w:b/>
          <w:bCs/>
          <w:i w:val="0"/>
          <w:iCs w:val="0"/>
          <w:caps w:val="0"/>
          <w:color w:val="000000"/>
          <w:spacing w:val="0"/>
          <w:sz w:val="32"/>
          <w:szCs w:val="32"/>
          <w:highlight w:val="none"/>
          <w:shd w:val="clear" w:color="auto" w:fill="FFFFFF"/>
        </w:rPr>
      </w:pPr>
      <w:r>
        <w:rPr>
          <w:rFonts w:hint="default" w:ascii="楷体_GB2312" w:hAnsi="Times New Roman" w:eastAsia="楷体_GB2312" w:cs="楷体_GB2312"/>
          <w:b/>
          <w:bCs/>
          <w:i w:val="0"/>
          <w:iCs w:val="0"/>
          <w:caps w:val="0"/>
          <w:color w:val="000000"/>
          <w:spacing w:val="0"/>
          <w:sz w:val="32"/>
          <w:szCs w:val="32"/>
          <w:highlight w:val="none"/>
          <w:shd w:val="clear" w:color="auto" w:fill="FFFFFF"/>
        </w:rPr>
        <w:t>（一）</w:t>
      </w:r>
      <w:r>
        <w:rPr>
          <w:rFonts w:hint="eastAsia" w:ascii="楷体_GB2312" w:hAnsi="Times New Roman" w:eastAsia="楷体_GB2312" w:cs="楷体_GB2312"/>
          <w:b/>
          <w:bCs/>
          <w:i w:val="0"/>
          <w:iCs w:val="0"/>
          <w:caps w:val="0"/>
          <w:color w:val="000000"/>
          <w:spacing w:val="0"/>
          <w:sz w:val="32"/>
          <w:szCs w:val="32"/>
          <w:highlight w:val="none"/>
          <w:shd w:val="clear" w:color="auto" w:fill="FFFFFF"/>
        </w:rPr>
        <w:t>预算执行、使用、管理总体情况</w:t>
      </w:r>
    </w:p>
    <w:p>
      <w:pPr>
        <w:pStyle w:val="17"/>
        <w:keepNext w:val="0"/>
        <w:keepLines w:val="0"/>
        <w:pageBreakBefore w:val="0"/>
        <w:widowControl w:val="0"/>
        <w:kinsoku/>
        <w:wordWrap/>
        <w:overflowPunct/>
        <w:topLinePunct w:val="0"/>
        <w:bidi w:val="0"/>
        <w:snapToGrid/>
        <w:spacing w:line="580" w:lineRule="exact"/>
        <w:ind w:firstLine="616" w:firstLineChars="200"/>
        <w:jc w:val="left"/>
        <w:textAlignment w:val="auto"/>
        <w:rPr>
          <w:rFonts w:hint="eastAsia" w:ascii="仿宋_GB2312" w:hAnsi="楷体" w:eastAsia="仿宋_GB2312" w:cs="楷体"/>
          <w:b w:val="0"/>
          <w:bCs/>
          <w:color w:val="000000" w:themeColor="text1"/>
          <w:spacing w:val="-6"/>
          <w:kern w:val="2"/>
          <w:sz w:val="32"/>
          <w:szCs w:val="32"/>
          <w:highlight w:val="none"/>
          <w:lang w:val="en-US" w:eastAsia="zh-CN" w:bidi="ar-SA"/>
        </w:rPr>
      </w:pPr>
      <w:r>
        <w:rPr>
          <w:rFonts w:hint="eastAsia" w:ascii="仿宋_GB2312" w:hAnsi="楷体" w:eastAsia="仿宋_GB2312" w:cs="楷体"/>
          <w:b w:val="0"/>
          <w:bCs/>
          <w:color w:val="000000" w:themeColor="text1"/>
          <w:spacing w:val="-6"/>
          <w:kern w:val="2"/>
          <w:sz w:val="32"/>
          <w:szCs w:val="32"/>
          <w:highlight w:val="none"/>
          <w:lang w:val="en-US" w:eastAsia="zh-CN" w:bidi="ar-SA"/>
        </w:rPr>
        <w:t>2023年部门预算包括本级预算和所属单位预算在内的汇总情况。收入既包括一般公共预算收入、政府性基金收入和国有资本经营预算收入，又包括事业单位经营服务等收入；支出既包括保障机关及所属事业单位基本运行的经费和专项经费。</w:t>
      </w:r>
    </w:p>
    <w:p>
      <w:pPr>
        <w:pStyle w:val="17"/>
        <w:keepNext w:val="0"/>
        <w:keepLines w:val="0"/>
        <w:pageBreakBefore w:val="0"/>
        <w:widowControl w:val="0"/>
        <w:kinsoku/>
        <w:wordWrap/>
        <w:overflowPunct/>
        <w:topLinePunct w:val="0"/>
        <w:bidi w:val="0"/>
        <w:snapToGrid/>
        <w:spacing w:line="580" w:lineRule="exact"/>
        <w:ind w:firstLine="616" w:firstLineChars="200"/>
        <w:jc w:val="left"/>
        <w:textAlignment w:val="auto"/>
        <w:rPr>
          <w:rFonts w:hint="eastAsia" w:ascii="仿宋_GB2312" w:hAnsi="楷体" w:eastAsia="仿宋_GB2312" w:cs="楷体"/>
          <w:b w:val="0"/>
          <w:bCs/>
          <w:color w:val="000000" w:themeColor="text1"/>
          <w:spacing w:val="-6"/>
          <w:kern w:val="2"/>
          <w:sz w:val="32"/>
          <w:szCs w:val="32"/>
          <w:highlight w:val="none"/>
          <w:lang w:val="en-US" w:eastAsia="zh-CN" w:bidi="ar-SA"/>
        </w:rPr>
      </w:pPr>
      <w:r>
        <w:rPr>
          <w:rFonts w:hint="eastAsia" w:ascii="仿宋_GB2312" w:hAnsi="楷体" w:eastAsia="仿宋_GB2312" w:cs="楷体"/>
          <w:b/>
          <w:bCs w:val="0"/>
          <w:color w:val="000000" w:themeColor="text1"/>
          <w:spacing w:val="-6"/>
          <w:kern w:val="2"/>
          <w:sz w:val="32"/>
          <w:szCs w:val="32"/>
          <w:highlight w:val="none"/>
          <w:lang w:val="en-US" w:eastAsia="zh-CN" w:bidi="ar-SA"/>
        </w:rPr>
        <w:t>收入预算情况：</w:t>
      </w:r>
      <w:r>
        <w:rPr>
          <w:rFonts w:hint="eastAsia" w:ascii="仿宋_GB2312" w:hAnsi="楷体" w:eastAsia="仿宋_GB2312" w:cs="楷体"/>
          <w:b w:val="0"/>
          <w:bCs/>
          <w:color w:val="000000" w:themeColor="text1"/>
          <w:spacing w:val="-6"/>
          <w:kern w:val="2"/>
          <w:sz w:val="32"/>
          <w:szCs w:val="32"/>
          <w:highlight w:val="none"/>
          <w:lang w:val="en-US" w:eastAsia="zh-CN" w:bidi="ar-SA"/>
        </w:rPr>
        <w:t>2023年年初预算数277.14万元，比上年预算增加51.32万元，增长22.73%；纳入专户管理的非税收入0万元。收入增加原因：工资晋级晋档调升（工资、社保缴费）；职能增加，工作业务相应增加，差旅费等费用相应增加。</w:t>
      </w:r>
    </w:p>
    <w:p>
      <w:pPr>
        <w:keepNext w:val="0"/>
        <w:keepLines w:val="0"/>
        <w:pageBreakBefore w:val="0"/>
        <w:widowControl/>
        <w:kinsoku/>
        <w:wordWrap/>
        <w:overflowPunct/>
        <w:topLinePunct w:val="0"/>
        <w:autoSpaceDE/>
        <w:autoSpaceDN/>
        <w:bidi w:val="0"/>
        <w:adjustRightInd/>
        <w:snapToGrid/>
        <w:spacing w:line="600" w:lineRule="exact"/>
        <w:ind w:firstLine="616" w:firstLineChars="200"/>
        <w:jc w:val="both"/>
        <w:textAlignment w:val="auto"/>
        <w:rPr>
          <w:rFonts w:hint="eastAsia" w:ascii="新宋体" w:hAnsi="新宋体" w:eastAsia="新宋体" w:cs="新宋体"/>
          <w:color w:val="000000" w:themeColor="text1"/>
          <w:kern w:val="0"/>
          <w:sz w:val="30"/>
          <w:szCs w:val="30"/>
          <w:lang w:val="en-US" w:eastAsia="zh-CN"/>
        </w:rPr>
      </w:pPr>
      <w:r>
        <w:rPr>
          <w:rFonts w:hint="eastAsia" w:ascii="仿宋_GB2312" w:hAnsi="楷体" w:eastAsia="仿宋_GB2312" w:cs="楷体"/>
          <w:b/>
          <w:bCs w:val="0"/>
          <w:color w:val="000000" w:themeColor="text1"/>
          <w:spacing w:val="-6"/>
          <w:kern w:val="2"/>
          <w:sz w:val="32"/>
          <w:szCs w:val="32"/>
          <w:highlight w:val="none"/>
          <w:lang w:val="en-US" w:eastAsia="zh-CN" w:bidi="ar-SA"/>
        </w:rPr>
        <w:t>支出预算情况：</w:t>
      </w:r>
      <w:r>
        <w:rPr>
          <w:rFonts w:hint="eastAsia" w:ascii="仿宋_GB2312" w:hAnsi="楷体" w:eastAsia="仿宋_GB2312" w:cs="楷体"/>
          <w:b w:val="0"/>
          <w:bCs/>
          <w:color w:val="000000" w:themeColor="text1"/>
          <w:spacing w:val="-6"/>
          <w:kern w:val="2"/>
          <w:sz w:val="32"/>
          <w:szCs w:val="32"/>
          <w:highlight w:val="none"/>
          <w:lang w:val="en-US" w:eastAsia="zh-CN" w:bidi="ar-SA"/>
        </w:rPr>
        <w:t>2023年本部门支出预算277.14万元，其中，一般公共服务231.99万元，社会保障和就业21.03万元，卫生健康9.16万元，住房保障14.96万元。支出较去年增加51.32万元，主要是人员经费增加，2022年本单位年末实有人数16人，比上年增加1人（新时代文明实践实践指导中心）。项目经费增加，老放映员生活困难补助从文旅广体局调整至我单位每月发放。</w:t>
      </w:r>
    </w:p>
    <w:p>
      <w:pPr>
        <w:pStyle w:val="17"/>
        <w:keepNext w:val="0"/>
        <w:keepLines w:val="0"/>
        <w:pageBreakBefore w:val="0"/>
        <w:widowControl w:val="0"/>
        <w:kinsoku/>
        <w:wordWrap/>
        <w:overflowPunct/>
        <w:topLinePunct w:val="0"/>
        <w:bidi w:val="0"/>
        <w:snapToGrid/>
        <w:spacing w:line="580" w:lineRule="exact"/>
        <w:ind w:firstLine="616" w:firstLineChars="200"/>
        <w:jc w:val="left"/>
        <w:textAlignment w:val="auto"/>
        <w:rPr>
          <w:rFonts w:hint="eastAsia" w:ascii="仿宋_GB2312" w:hAnsi="楷体" w:eastAsia="仿宋_GB2312" w:cs="楷体"/>
          <w:b w:val="0"/>
          <w:bCs/>
          <w:color w:val="000000" w:themeColor="text1"/>
          <w:spacing w:val="-6"/>
          <w:kern w:val="2"/>
          <w:sz w:val="32"/>
          <w:szCs w:val="32"/>
          <w:highlight w:val="none"/>
          <w:lang w:val="en-US" w:eastAsia="zh-CN" w:bidi="ar-SA"/>
        </w:rPr>
      </w:pPr>
      <w:r>
        <w:rPr>
          <w:rFonts w:hint="eastAsia" w:ascii="仿宋_GB2312" w:hAnsi="楷体" w:eastAsia="仿宋_GB2312" w:cs="楷体"/>
          <w:b/>
          <w:bCs w:val="0"/>
          <w:color w:val="000000" w:themeColor="text1"/>
          <w:spacing w:val="-6"/>
          <w:kern w:val="2"/>
          <w:sz w:val="32"/>
          <w:szCs w:val="32"/>
          <w:highlight w:val="none"/>
          <w:lang w:val="en-US" w:eastAsia="zh-CN" w:bidi="ar-SA"/>
        </w:rPr>
        <w:t>支出增加原因：</w:t>
      </w:r>
      <w:r>
        <w:rPr>
          <w:rFonts w:hint="eastAsia" w:ascii="仿宋_GB2312" w:hAnsi="楷体" w:eastAsia="仿宋_GB2312" w:cs="楷体"/>
          <w:b w:val="0"/>
          <w:bCs/>
          <w:color w:val="000000" w:themeColor="text1"/>
          <w:spacing w:val="-6"/>
          <w:kern w:val="2"/>
          <w:sz w:val="32"/>
          <w:szCs w:val="32"/>
          <w:highlight w:val="none"/>
          <w:lang w:val="en-US" w:eastAsia="zh-CN" w:bidi="ar-SA"/>
        </w:rPr>
        <w:t>工资晋级晋档调升（工资、社保缴费）；职能增加，工作业务相应增加，差旅费等费用相应增加。</w:t>
      </w:r>
    </w:p>
    <w:p>
      <w:pPr>
        <w:pStyle w:val="11"/>
        <w:ind w:left="0" w:leftChars="0" w:firstLine="640" w:firstLineChars="200"/>
        <w:rPr>
          <w:rFonts w:hint="default" w:ascii="楷体_GB2312" w:hAnsi="Times New Roman" w:eastAsia="楷体_GB2312" w:cs="楷体_GB2312"/>
          <w:b/>
          <w:bCs/>
          <w:i w:val="0"/>
          <w:iCs w:val="0"/>
          <w:caps w:val="0"/>
          <w:color w:val="000000"/>
          <w:spacing w:val="0"/>
          <w:sz w:val="32"/>
          <w:szCs w:val="32"/>
          <w:highlight w:val="none"/>
          <w:shd w:val="clear" w:color="auto" w:fill="FFFFFF"/>
        </w:rPr>
      </w:pPr>
      <w:r>
        <w:rPr>
          <w:rFonts w:hint="eastAsia" w:ascii="楷体_GB2312" w:hAnsi="Times New Roman" w:eastAsia="楷体_GB2312" w:cs="楷体_GB2312"/>
          <w:b/>
          <w:bCs/>
          <w:i w:val="0"/>
          <w:iCs w:val="0"/>
          <w:caps w:val="0"/>
          <w:color w:val="000000"/>
          <w:spacing w:val="0"/>
          <w:sz w:val="32"/>
          <w:szCs w:val="32"/>
          <w:highlight w:val="none"/>
          <w:shd w:val="clear" w:color="auto" w:fill="FFFFFF"/>
          <w:lang w:eastAsia="zh-CN"/>
        </w:rPr>
        <w:t>（二）</w:t>
      </w:r>
      <w:r>
        <w:rPr>
          <w:rFonts w:hint="default" w:ascii="楷体_GB2312" w:hAnsi="Times New Roman" w:eastAsia="楷体_GB2312" w:cs="楷体_GB2312"/>
          <w:b/>
          <w:bCs/>
          <w:i w:val="0"/>
          <w:iCs w:val="0"/>
          <w:caps w:val="0"/>
          <w:color w:val="000000"/>
          <w:spacing w:val="0"/>
          <w:sz w:val="32"/>
          <w:szCs w:val="32"/>
          <w:highlight w:val="none"/>
          <w:shd w:val="clear" w:color="auto" w:fill="FFFFFF"/>
        </w:rPr>
        <w:t>部门预算执行情况</w:t>
      </w:r>
    </w:p>
    <w:p>
      <w:pPr>
        <w:pStyle w:val="17"/>
        <w:keepNext w:val="0"/>
        <w:keepLines w:val="0"/>
        <w:pageBreakBefore w:val="0"/>
        <w:widowControl w:val="0"/>
        <w:kinsoku/>
        <w:wordWrap/>
        <w:overflowPunct/>
        <w:topLinePunct w:val="0"/>
        <w:bidi w:val="0"/>
        <w:snapToGrid/>
        <w:spacing w:line="580" w:lineRule="exact"/>
        <w:ind w:firstLine="616" w:firstLineChars="200"/>
        <w:jc w:val="left"/>
        <w:textAlignment w:val="auto"/>
        <w:rPr>
          <w:rFonts w:hint="eastAsia" w:ascii="仿宋_GB2312" w:hAnsi="楷体" w:eastAsia="仿宋_GB2312" w:cs="楷体"/>
          <w:b w:val="0"/>
          <w:bCs/>
          <w:color w:val="000000" w:themeColor="text1"/>
          <w:spacing w:val="-6"/>
          <w:kern w:val="2"/>
          <w:sz w:val="32"/>
          <w:szCs w:val="32"/>
          <w:highlight w:val="none"/>
          <w:lang w:val="en-US" w:eastAsia="zh-CN" w:bidi="ar-SA"/>
        </w:rPr>
      </w:pPr>
      <w:r>
        <w:rPr>
          <w:rFonts w:hint="eastAsia" w:ascii="仿宋_GB2312" w:hAnsi="楷体" w:eastAsia="仿宋_GB2312" w:cs="楷体"/>
          <w:b/>
          <w:bCs w:val="0"/>
          <w:color w:val="000000" w:themeColor="text1"/>
          <w:spacing w:val="-6"/>
          <w:kern w:val="2"/>
          <w:sz w:val="32"/>
          <w:szCs w:val="32"/>
          <w:highlight w:val="none"/>
          <w:lang w:val="en-US" w:eastAsia="zh-CN" w:bidi="ar-SA"/>
        </w:rPr>
        <w:t>收入方面：</w:t>
      </w:r>
      <w:r>
        <w:rPr>
          <w:rFonts w:hint="eastAsia" w:ascii="仿宋_GB2312" w:hAnsi="楷体" w:eastAsia="仿宋_GB2312" w:cs="楷体"/>
          <w:b w:val="0"/>
          <w:bCs/>
          <w:color w:val="000000" w:themeColor="text1"/>
          <w:spacing w:val="-6"/>
          <w:kern w:val="2"/>
          <w:sz w:val="32"/>
          <w:szCs w:val="32"/>
          <w:highlight w:val="none"/>
          <w:lang w:val="en-US" w:eastAsia="zh-CN" w:bidi="ar-SA"/>
        </w:rPr>
        <w:t>2023年收入实际完成749.39万元，比上年</w:t>
      </w:r>
      <w:r>
        <w:rPr>
          <w:rFonts w:hint="eastAsia" w:ascii="Times New Roman" w:hAnsi="Times New Roman" w:eastAsia="仿宋_GB2312" w:cs="Times New Roman"/>
          <w:color w:val="auto"/>
          <w:kern w:val="0"/>
          <w:sz w:val="32"/>
          <w:szCs w:val="32"/>
          <w:highlight w:val="none"/>
          <w:lang w:val="en-US" w:eastAsia="zh-CN"/>
        </w:rPr>
        <w:t>减少193.33万元，下降20.51%，</w:t>
      </w:r>
      <w:r>
        <w:rPr>
          <w:rFonts w:hint="eastAsia" w:ascii="仿宋_GB2312" w:hAnsi="楷体" w:eastAsia="仿宋_GB2312" w:cs="楷体"/>
          <w:b w:val="0"/>
          <w:bCs/>
          <w:color w:val="000000" w:themeColor="text1"/>
          <w:spacing w:val="-6"/>
          <w:kern w:val="2"/>
          <w:sz w:val="32"/>
          <w:szCs w:val="32"/>
          <w:highlight w:val="none"/>
          <w:lang w:val="en-US" w:eastAsia="zh-CN" w:bidi="ar-SA"/>
        </w:rPr>
        <w:t>变化的主要原因是：响应中央号召，厉行节约，压缩开支。其中：一般公共预算财政拨款收入完成688.93万元，比上年929.91万元，减少204.98万元，下降25.91</w:t>
      </w:r>
      <w:r>
        <w:rPr>
          <w:rFonts w:hint="eastAsia" w:ascii="仿宋_GB2312" w:hAnsi="楷体" w:eastAsia="仿宋_GB2312" w:cs="楷体"/>
          <w:b w:val="0"/>
          <w:bCs/>
          <w:color w:val="000000" w:themeColor="text1"/>
          <w:spacing w:val="-6"/>
          <w:kern w:val="2"/>
          <w:sz w:val="32"/>
          <w:szCs w:val="32"/>
          <w:highlight w:val="none"/>
          <w:lang w:val="zh-CN" w:eastAsia="zh-CN" w:bidi="ar-SA"/>
        </w:rPr>
        <w:t>%，变化的主要原因是：</w:t>
      </w:r>
      <w:r>
        <w:rPr>
          <w:rFonts w:hint="eastAsia" w:ascii="仿宋_GB2312" w:hAnsi="楷体" w:eastAsia="仿宋_GB2312" w:cs="楷体"/>
          <w:b w:val="0"/>
          <w:bCs/>
          <w:color w:val="000000" w:themeColor="text1"/>
          <w:spacing w:val="-6"/>
          <w:kern w:val="2"/>
          <w:sz w:val="32"/>
          <w:szCs w:val="32"/>
          <w:highlight w:val="none"/>
          <w:lang w:val="en-US" w:eastAsia="zh-CN" w:bidi="ar-SA"/>
        </w:rPr>
        <w:t>响应中央号召，厉行节约，压缩开支。</w:t>
      </w:r>
    </w:p>
    <w:p>
      <w:pPr>
        <w:pStyle w:val="17"/>
        <w:keepNext w:val="0"/>
        <w:keepLines w:val="0"/>
        <w:pageBreakBefore w:val="0"/>
        <w:widowControl w:val="0"/>
        <w:kinsoku/>
        <w:wordWrap/>
        <w:overflowPunct/>
        <w:topLinePunct w:val="0"/>
        <w:bidi w:val="0"/>
        <w:snapToGrid/>
        <w:spacing w:line="580" w:lineRule="exact"/>
        <w:ind w:firstLine="616" w:firstLineChars="200"/>
        <w:jc w:val="left"/>
        <w:textAlignment w:val="auto"/>
        <w:rPr>
          <w:rFonts w:hint="eastAsia" w:ascii="仿宋_GB2312" w:hAnsi="楷体" w:eastAsia="仿宋_GB2312" w:cs="楷体"/>
          <w:b w:val="0"/>
          <w:bCs/>
          <w:color w:val="000000" w:themeColor="text1"/>
          <w:spacing w:val="-6"/>
          <w:kern w:val="2"/>
          <w:sz w:val="32"/>
          <w:szCs w:val="32"/>
          <w:highlight w:val="none"/>
          <w:lang w:val="en-US" w:eastAsia="zh-CN" w:bidi="ar-SA"/>
        </w:rPr>
      </w:pPr>
      <w:r>
        <w:rPr>
          <w:rFonts w:hint="eastAsia" w:ascii="仿宋_GB2312" w:hAnsi="楷体" w:eastAsia="仿宋_GB2312" w:cs="楷体"/>
          <w:b/>
          <w:bCs w:val="0"/>
          <w:color w:val="000000" w:themeColor="text1"/>
          <w:spacing w:val="-6"/>
          <w:kern w:val="2"/>
          <w:sz w:val="32"/>
          <w:szCs w:val="32"/>
          <w:highlight w:val="none"/>
          <w:lang w:val="en-US" w:eastAsia="zh-CN" w:bidi="ar-SA"/>
        </w:rPr>
        <w:t>支出方面：</w:t>
      </w:r>
      <w:r>
        <w:rPr>
          <w:rFonts w:hint="eastAsia" w:ascii="仿宋_GB2312" w:hAnsi="楷体" w:eastAsia="仿宋_GB2312" w:cs="楷体"/>
          <w:b w:val="0"/>
          <w:bCs/>
          <w:color w:val="000000" w:themeColor="text1"/>
          <w:spacing w:val="-6"/>
          <w:kern w:val="2"/>
          <w:sz w:val="32"/>
          <w:szCs w:val="32"/>
          <w:highlight w:val="none"/>
          <w:lang w:val="en-US" w:eastAsia="zh-CN" w:bidi="ar-SA"/>
        </w:rPr>
        <w:t>2023年，本部门支出749.39万元，比上年减少193.33万元，</w:t>
      </w:r>
      <w:r>
        <w:rPr>
          <w:rFonts w:hint="eastAsia" w:ascii="Times New Roman" w:hAnsi="Times New Roman" w:eastAsia="仿宋_GB2312" w:cs="Times New Roman"/>
          <w:color w:val="auto"/>
          <w:kern w:val="0"/>
          <w:sz w:val="32"/>
          <w:szCs w:val="32"/>
          <w:highlight w:val="none"/>
          <w:lang w:val="en-US" w:eastAsia="zh-CN"/>
        </w:rPr>
        <w:t>下降20.51%，</w:t>
      </w:r>
      <w:r>
        <w:rPr>
          <w:rFonts w:hint="eastAsia" w:ascii="仿宋_GB2312" w:hAnsi="楷体" w:eastAsia="仿宋_GB2312" w:cs="楷体"/>
          <w:b w:val="0"/>
          <w:bCs/>
          <w:color w:val="000000" w:themeColor="text1"/>
          <w:spacing w:val="-6"/>
          <w:kern w:val="2"/>
          <w:sz w:val="32"/>
          <w:szCs w:val="32"/>
          <w:highlight w:val="none"/>
          <w:lang w:val="zh-CN" w:eastAsia="zh-CN" w:bidi="ar-SA"/>
        </w:rPr>
        <w:t>变化的主要原因：</w:t>
      </w:r>
      <w:r>
        <w:rPr>
          <w:rFonts w:hint="eastAsia" w:ascii="仿宋_GB2312" w:hAnsi="楷体" w:eastAsia="仿宋_GB2312" w:cs="楷体"/>
          <w:b w:val="0"/>
          <w:bCs/>
          <w:color w:val="000000" w:themeColor="text1"/>
          <w:spacing w:val="-6"/>
          <w:kern w:val="2"/>
          <w:sz w:val="32"/>
          <w:szCs w:val="32"/>
          <w:highlight w:val="none"/>
          <w:lang w:val="en-US" w:eastAsia="zh-CN" w:bidi="ar-SA"/>
        </w:rPr>
        <w:t>响应中央号召，厉行节约，压缩开支。其中：</w:t>
      </w:r>
      <w:r>
        <w:rPr>
          <w:rFonts w:hint="eastAsia" w:ascii="仿宋_GB2312" w:hAnsi="楷体" w:eastAsia="仿宋_GB2312" w:cs="楷体"/>
          <w:b/>
          <w:bCs w:val="0"/>
          <w:color w:val="000000" w:themeColor="text1"/>
          <w:spacing w:val="-6"/>
          <w:kern w:val="2"/>
          <w:sz w:val="32"/>
          <w:szCs w:val="32"/>
          <w:highlight w:val="none"/>
          <w:lang w:val="en-US" w:eastAsia="zh-CN" w:bidi="ar-SA"/>
        </w:rPr>
        <w:t>基本支出</w:t>
      </w:r>
      <w:r>
        <w:rPr>
          <w:rFonts w:hint="eastAsia" w:ascii="仿宋_GB2312" w:hAnsi="楷体" w:eastAsia="仿宋_GB2312" w:cs="楷体"/>
          <w:b w:val="0"/>
          <w:bCs/>
          <w:color w:val="000000" w:themeColor="text1"/>
          <w:spacing w:val="-6"/>
          <w:kern w:val="2"/>
          <w:sz w:val="32"/>
          <w:szCs w:val="32"/>
          <w:highlight w:val="none"/>
          <w:lang w:val="en-US" w:eastAsia="zh-CN" w:bidi="ar-SA"/>
        </w:rPr>
        <w:t>完成276.11万元（其中：</w:t>
      </w:r>
      <w:r>
        <w:rPr>
          <w:rFonts w:hint="eastAsia" w:ascii="仿宋_GB2312" w:hAnsi="楷体" w:eastAsia="仿宋_GB2312" w:cs="楷体"/>
          <w:b w:val="0"/>
          <w:bCs/>
          <w:color w:val="000000" w:themeColor="text1"/>
          <w:spacing w:val="-6"/>
          <w:kern w:val="2"/>
          <w:sz w:val="32"/>
          <w:szCs w:val="32"/>
          <w:highlight w:val="none"/>
          <w:lang w:val="zh-CN" w:eastAsia="zh-CN" w:bidi="ar-SA"/>
        </w:rPr>
        <w:t>人员经费</w:t>
      </w:r>
      <w:r>
        <w:rPr>
          <w:rFonts w:hint="eastAsia" w:ascii="仿宋_GB2312" w:hAnsi="楷体" w:eastAsia="仿宋_GB2312" w:cs="楷体"/>
          <w:b w:val="0"/>
          <w:bCs/>
          <w:color w:val="000000" w:themeColor="text1"/>
          <w:spacing w:val="-6"/>
          <w:kern w:val="2"/>
          <w:sz w:val="32"/>
          <w:szCs w:val="32"/>
          <w:highlight w:val="none"/>
          <w:lang w:val="en-US" w:eastAsia="zh-CN" w:bidi="ar-SA"/>
        </w:rPr>
        <w:t>完成183.46万元；公用</w:t>
      </w:r>
      <w:r>
        <w:rPr>
          <w:rFonts w:hint="eastAsia" w:ascii="仿宋_GB2312" w:hAnsi="楷体" w:eastAsia="仿宋_GB2312" w:cs="楷体"/>
          <w:b w:val="0"/>
          <w:bCs/>
          <w:color w:val="000000" w:themeColor="text1"/>
          <w:spacing w:val="-6"/>
          <w:kern w:val="2"/>
          <w:sz w:val="32"/>
          <w:szCs w:val="32"/>
          <w:highlight w:val="none"/>
          <w:lang w:val="zh-CN" w:eastAsia="zh-CN" w:bidi="ar-SA"/>
        </w:rPr>
        <w:t>经费</w:t>
      </w:r>
      <w:r>
        <w:rPr>
          <w:rFonts w:hint="eastAsia" w:ascii="仿宋_GB2312" w:hAnsi="楷体" w:eastAsia="仿宋_GB2312" w:cs="楷体"/>
          <w:b w:val="0"/>
          <w:bCs/>
          <w:color w:val="000000" w:themeColor="text1"/>
          <w:spacing w:val="-6"/>
          <w:kern w:val="2"/>
          <w:sz w:val="32"/>
          <w:szCs w:val="32"/>
          <w:highlight w:val="none"/>
          <w:lang w:val="en-US" w:eastAsia="zh-CN" w:bidi="ar-SA"/>
        </w:rPr>
        <w:t>完成92.65万元），比上年377.86万元减少101.75万元，下降26.93%，</w:t>
      </w:r>
      <w:r>
        <w:rPr>
          <w:rFonts w:hint="eastAsia" w:ascii="仿宋_GB2312" w:hAnsi="楷体" w:eastAsia="仿宋_GB2312" w:cs="楷体"/>
          <w:b w:val="0"/>
          <w:bCs/>
          <w:color w:val="000000" w:themeColor="text1"/>
          <w:spacing w:val="-6"/>
          <w:kern w:val="2"/>
          <w:sz w:val="32"/>
          <w:szCs w:val="32"/>
          <w:highlight w:val="none"/>
          <w:lang w:val="zh-CN" w:eastAsia="zh-CN" w:bidi="ar-SA"/>
        </w:rPr>
        <w:t>变化的主要原因：</w:t>
      </w:r>
      <w:r>
        <w:rPr>
          <w:rFonts w:hint="eastAsia" w:ascii="仿宋_GB2312" w:hAnsi="楷体" w:eastAsia="仿宋_GB2312" w:cs="楷体"/>
          <w:b w:val="0"/>
          <w:bCs/>
          <w:color w:val="000000" w:themeColor="text1"/>
          <w:spacing w:val="-6"/>
          <w:kern w:val="2"/>
          <w:sz w:val="32"/>
          <w:szCs w:val="32"/>
          <w:highlight w:val="none"/>
          <w:lang w:val="en-US" w:eastAsia="zh-CN" w:bidi="ar-SA"/>
        </w:rPr>
        <w:t>响应中央号召，厉行节约，压缩开支；人员调出，相应的支出减少。</w:t>
      </w:r>
      <w:r>
        <w:rPr>
          <w:rFonts w:hint="eastAsia" w:ascii="仿宋_GB2312" w:hAnsi="楷体" w:eastAsia="仿宋_GB2312" w:cs="楷体"/>
          <w:b/>
          <w:bCs w:val="0"/>
          <w:color w:val="000000" w:themeColor="text1"/>
          <w:spacing w:val="-6"/>
          <w:kern w:val="2"/>
          <w:sz w:val="32"/>
          <w:szCs w:val="32"/>
          <w:highlight w:val="none"/>
          <w:lang w:val="en-US" w:eastAsia="zh-CN" w:bidi="ar-SA"/>
        </w:rPr>
        <w:t>项目支出</w:t>
      </w:r>
      <w:r>
        <w:rPr>
          <w:rFonts w:hint="eastAsia" w:ascii="仿宋_GB2312" w:hAnsi="楷体" w:eastAsia="仿宋_GB2312" w:cs="楷体"/>
          <w:b w:val="0"/>
          <w:bCs/>
          <w:color w:val="000000" w:themeColor="text1"/>
          <w:spacing w:val="-6"/>
          <w:kern w:val="2"/>
          <w:sz w:val="32"/>
          <w:szCs w:val="32"/>
          <w:highlight w:val="none"/>
          <w:lang w:val="en-US" w:eastAsia="zh-CN" w:bidi="ar-SA"/>
        </w:rPr>
        <w:t>473.28万元（1.志愿者服务管理人员经费6万元；精神文明创建经费（含扫黄打非）7.2万元；3.上级媒体对接经费7.2万元；4.社科联工作经费4万元；5.县委中心组学习经费6.4万元；6.意识形态工作经费7.2万元；7.老放映员生活困难补助14.17万元；8.其他专项费用421.11万元）。调整年初预算420.28万元，比上年564.86万元减少91.58万元，下降了16.21%。</w:t>
      </w:r>
    </w:p>
    <w:p>
      <w:pPr>
        <w:pStyle w:val="11"/>
        <w:ind w:left="0" w:leftChars="0" w:firstLine="640" w:firstLineChars="200"/>
        <w:rPr>
          <w:rFonts w:hint="default" w:ascii="楷体_GB2312" w:hAnsi="Times New Roman" w:eastAsia="楷体_GB2312" w:cs="楷体_GB2312"/>
          <w:b/>
          <w:bCs/>
          <w:i w:val="0"/>
          <w:iCs w:val="0"/>
          <w:caps w:val="0"/>
          <w:color w:val="000000"/>
          <w:spacing w:val="0"/>
          <w:sz w:val="32"/>
          <w:szCs w:val="32"/>
          <w:highlight w:val="none"/>
          <w:shd w:val="clear" w:color="auto" w:fill="FFFFFF"/>
        </w:rPr>
      </w:pPr>
      <w:r>
        <w:rPr>
          <w:rFonts w:hint="default" w:ascii="楷体_GB2312" w:hAnsi="Times New Roman" w:eastAsia="楷体_GB2312" w:cs="楷体_GB2312"/>
          <w:b/>
          <w:bCs/>
          <w:i w:val="0"/>
          <w:iCs w:val="0"/>
          <w:caps w:val="0"/>
          <w:color w:val="000000"/>
          <w:spacing w:val="0"/>
          <w:sz w:val="32"/>
          <w:szCs w:val="32"/>
          <w:highlight w:val="none"/>
          <w:shd w:val="clear" w:color="auto" w:fill="FFFFFF"/>
        </w:rPr>
        <w:t>（三）"三公"经费使用和管理情况</w:t>
      </w:r>
    </w:p>
    <w:p>
      <w:pPr>
        <w:spacing w:beforeLines="0" w:afterLines="0" w:line="520" w:lineRule="exact"/>
        <w:ind w:firstLine="640"/>
        <w:rPr>
          <w:rFonts w:hint="default" w:ascii="楷体_GB2312" w:eastAsia="楷体_GB2312" w:cs="楷体_GB2312"/>
          <w:i w:val="0"/>
          <w:iCs w:val="0"/>
          <w:caps w:val="0"/>
          <w:color w:val="000000"/>
          <w:spacing w:val="0"/>
          <w:sz w:val="32"/>
          <w:szCs w:val="32"/>
          <w:highlight w:val="none"/>
          <w:shd w:val="clear" w:color="auto" w:fill="FFFFFF"/>
        </w:rPr>
      </w:pPr>
      <w:r>
        <w:rPr>
          <w:rFonts w:hint="eastAsia" w:ascii="仿宋" w:hAnsi="仿宋" w:eastAsia="仿宋" w:cs="仿宋"/>
          <w:sz w:val="32"/>
          <w:szCs w:val="32"/>
          <w:highlight w:val="none"/>
          <w:lang w:val="en-US"/>
        </w:rPr>
        <w:t>202</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lang w:val="en-US"/>
        </w:rPr>
        <w:t>年，“三公”经费完成</w:t>
      </w:r>
      <w:r>
        <w:rPr>
          <w:rFonts w:hint="eastAsia" w:ascii="仿宋" w:hAnsi="仿宋" w:eastAsia="仿宋" w:cs="仿宋"/>
          <w:sz w:val="32"/>
          <w:szCs w:val="32"/>
          <w:highlight w:val="none"/>
          <w:lang w:val="en-US" w:eastAsia="zh-CN"/>
        </w:rPr>
        <w:t>6.66万</w:t>
      </w:r>
      <w:r>
        <w:rPr>
          <w:rFonts w:hint="eastAsia" w:ascii="仿宋" w:hAnsi="仿宋" w:eastAsia="仿宋" w:cs="仿宋"/>
          <w:sz w:val="32"/>
          <w:szCs w:val="32"/>
          <w:highlight w:val="none"/>
          <w:lang w:val="en-US"/>
        </w:rPr>
        <w:t>元，比上年</w:t>
      </w:r>
      <w:r>
        <w:rPr>
          <w:rFonts w:hint="eastAsia" w:ascii="仿宋" w:hAnsi="仿宋" w:eastAsia="仿宋" w:cs="仿宋"/>
          <w:sz w:val="32"/>
          <w:szCs w:val="32"/>
          <w:highlight w:val="none"/>
          <w:lang w:val="en-US" w:eastAsia="zh-CN"/>
        </w:rPr>
        <w:t>7.54万元减少0.88万</w:t>
      </w:r>
      <w:r>
        <w:rPr>
          <w:rFonts w:hint="eastAsia" w:ascii="仿宋" w:hAnsi="仿宋" w:eastAsia="仿宋" w:cs="仿宋"/>
          <w:sz w:val="32"/>
          <w:szCs w:val="32"/>
          <w:highlight w:val="none"/>
          <w:lang w:val="en-US"/>
        </w:rPr>
        <w:t>元，</w:t>
      </w:r>
      <w:r>
        <w:rPr>
          <w:rFonts w:hint="eastAsia" w:ascii="仿宋" w:hAnsi="仿宋" w:eastAsia="仿宋" w:cs="仿宋"/>
          <w:sz w:val="32"/>
          <w:szCs w:val="32"/>
          <w:highlight w:val="none"/>
          <w:lang w:val="en-US" w:eastAsia="zh-CN"/>
        </w:rPr>
        <w:t>下降11.67</w:t>
      </w:r>
      <w:r>
        <w:rPr>
          <w:rFonts w:hint="eastAsia" w:ascii="仿宋" w:hAnsi="仿宋" w:eastAsia="仿宋" w:cs="仿宋"/>
          <w:sz w:val="32"/>
          <w:szCs w:val="32"/>
          <w:highlight w:val="none"/>
          <w:lang w:val="en-US"/>
        </w:rPr>
        <w:t>%</w:t>
      </w:r>
      <w:r>
        <w:rPr>
          <w:rFonts w:hint="eastAsia" w:ascii="仿宋" w:hAnsi="仿宋" w:eastAsia="仿宋" w:cs="仿宋"/>
          <w:sz w:val="32"/>
          <w:szCs w:val="32"/>
          <w:highlight w:val="none"/>
          <w:lang w:val="zh-CN"/>
        </w:rPr>
        <w:t>。其中：</w:t>
      </w:r>
      <w:r>
        <w:rPr>
          <w:rFonts w:hint="eastAsia" w:ascii="仿宋" w:hAnsi="仿宋" w:eastAsia="仿宋" w:cs="仿宋"/>
          <w:b/>
          <w:sz w:val="32"/>
          <w:szCs w:val="32"/>
          <w:highlight w:val="none"/>
          <w:lang w:val="zh-CN"/>
        </w:rPr>
        <w:t>因公出国（境）费</w:t>
      </w:r>
      <w:r>
        <w:rPr>
          <w:rFonts w:hint="eastAsia" w:ascii="仿宋" w:hAnsi="仿宋" w:eastAsia="仿宋" w:cs="仿宋"/>
          <w:sz w:val="32"/>
          <w:szCs w:val="32"/>
          <w:highlight w:val="none"/>
          <w:lang w:val="en-US"/>
        </w:rPr>
        <w:t>完成0元，比上年增减0元，增加下降0%</w:t>
      </w:r>
      <w:r>
        <w:rPr>
          <w:rFonts w:hint="eastAsia" w:ascii="仿宋" w:hAnsi="仿宋" w:eastAsia="仿宋" w:cs="仿宋"/>
          <w:sz w:val="32"/>
          <w:szCs w:val="32"/>
          <w:highlight w:val="none"/>
          <w:lang w:val="zh-CN"/>
        </w:rPr>
        <w:t>；</w:t>
      </w:r>
      <w:r>
        <w:rPr>
          <w:rFonts w:hint="eastAsia" w:ascii="仿宋" w:hAnsi="仿宋" w:eastAsia="仿宋" w:cs="仿宋"/>
          <w:b/>
          <w:sz w:val="32"/>
          <w:szCs w:val="32"/>
          <w:highlight w:val="none"/>
          <w:lang w:val="zh-CN"/>
        </w:rPr>
        <w:t>公务接待费</w:t>
      </w:r>
      <w:r>
        <w:rPr>
          <w:rFonts w:hint="eastAsia" w:ascii="仿宋" w:hAnsi="仿宋" w:eastAsia="仿宋" w:cs="仿宋"/>
          <w:sz w:val="32"/>
          <w:szCs w:val="32"/>
          <w:highlight w:val="none"/>
          <w:lang w:val="en-US"/>
        </w:rPr>
        <w:t>完成</w:t>
      </w:r>
      <w:r>
        <w:rPr>
          <w:rFonts w:hint="eastAsia" w:ascii="仿宋" w:hAnsi="仿宋" w:eastAsia="仿宋" w:cs="仿宋"/>
          <w:sz w:val="32"/>
          <w:szCs w:val="32"/>
          <w:highlight w:val="none"/>
          <w:lang w:val="en-US" w:eastAsia="zh-CN"/>
        </w:rPr>
        <w:t>6.66万</w:t>
      </w:r>
      <w:r>
        <w:rPr>
          <w:rFonts w:hint="eastAsia" w:ascii="仿宋" w:hAnsi="仿宋" w:eastAsia="仿宋" w:cs="仿宋"/>
          <w:sz w:val="32"/>
          <w:szCs w:val="32"/>
          <w:highlight w:val="none"/>
          <w:lang w:val="en-US"/>
        </w:rPr>
        <w:t>元，比上年</w:t>
      </w:r>
      <w:r>
        <w:rPr>
          <w:rFonts w:hint="eastAsia" w:ascii="仿宋" w:hAnsi="仿宋" w:eastAsia="仿宋" w:cs="仿宋"/>
          <w:sz w:val="32"/>
          <w:szCs w:val="32"/>
          <w:highlight w:val="none"/>
          <w:lang w:val="en-US" w:eastAsia="zh-CN"/>
        </w:rPr>
        <w:t>7.54万元减少0.88万</w:t>
      </w:r>
      <w:r>
        <w:rPr>
          <w:rFonts w:hint="eastAsia" w:ascii="仿宋" w:hAnsi="仿宋" w:eastAsia="仿宋" w:cs="仿宋"/>
          <w:sz w:val="32"/>
          <w:szCs w:val="32"/>
          <w:highlight w:val="none"/>
          <w:lang w:val="en-US"/>
        </w:rPr>
        <w:t>元，</w:t>
      </w:r>
      <w:r>
        <w:rPr>
          <w:rFonts w:hint="eastAsia" w:ascii="仿宋" w:hAnsi="仿宋" w:eastAsia="仿宋" w:cs="仿宋"/>
          <w:sz w:val="32"/>
          <w:szCs w:val="32"/>
          <w:highlight w:val="none"/>
          <w:lang w:val="en-US" w:eastAsia="zh-CN"/>
        </w:rPr>
        <w:t>下降11.67</w:t>
      </w:r>
      <w:r>
        <w:rPr>
          <w:rFonts w:hint="eastAsia" w:ascii="仿宋" w:hAnsi="仿宋" w:eastAsia="仿宋" w:cs="仿宋"/>
          <w:sz w:val="32"/>
          <w:szCs w:val="32"/>
          <w:highlight w:val="none"/>
          <w:lang w:val="en-US"/>
        </w:rPr>
        <w:t>%，变化的主要原因是：严格执行八项规定</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lang w:val="en-US"/>
        </w:rPr>
        <w:t>厉行节约</w:t>
      </w:r>
      <w:r>
        <w:rPr>
          <w:rFonts w:hint="eastAsia" w:ascii="仿宋" w:hAnsi="仿宋" w:eastAsia="仿宋" w:cs="仿宋"/>
          <w:sz w:val="32"/>
          <w:szCs w:val="32"/>
          <w:highlight w:val="none"/>
          <w:lang w:val="en-US" w:eastAsia="zh-CN"/>
        </w:rPr>
        <w:t>，压缩开支</w:t>
      </w:r>
      <w:r>
        <w:rPr>
          <w:rFonts w:hint="eastAsia" w:ascii="仿宋" w:hAnsi="仿宋" w:eastAsia="仿宋" w:cs="仿宋"/>
          <w:sz w:val="32"/>
          <w:szCs w:val="32"/>
          <w:highlight w:val="none"/>
          <w:lang w:val="zh-CN"/>
        </w:rPr>
        <w:t>；</w:t>
      </w:r>
      <w:r>
        <w:rPr>
          <w:rFonts w:hint="eastAsia" w:ascii="仿宋" w:hAnsi="仿宋" w:eastAsia="仿宋" w:cs="仿宋"/>
          <w:b/>
          <w:sz w:val="32"/>
          <w:szCs w:val="32"/>
          <w:highlight w:val="none"/>
          <w:lang w:val="zh-CN"/>
        </w:rPr>
        <w:t>公务用车购置及运行维护费</w:t>
      </w:r>
      <w:r>
        <w:rPr>
          <w:rFonts w:hint="eastAsia" w:ascii="仿宋" w:hAnsi="仿宋" w:eastAsia="仿宋" w:cs="仿宋"/>
          <w:sz w:val="32"/>
          <w:szCs w:val="32"/>
          <w:highlight w:val="none"/>
          <w:lang w:val="en-US"/>
        </w:rPr>
        <w:t>完成</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lang w:val="en-US"/>
        </w:rPr>
        <w:t>元，比上年增减</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lang w:val="en-US"/>
        </w:rPr>
        <w:t>元，增加下降</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lang w:val="en-US"/>
        </w:rPr>
        <w:t>%</w:t>
      </w:r>
      <w:r>
        <w:rPr>
          <w:rFonts w:hint="eastAsia" w:ascii="仿宋" w:hAnsi="仿宋" w:eastAsia="仿宋" w:cs="仿宋"/>
          <w:sz w:val="32"/>
          <w:szCs w:val="32"/>
          <w:highlight w:val="none"/>
          <w:lang w:val="zh-CN"/>
        </w:rPr>
        <w:t>。</w:t>
      </w:r>
    </w:p>
    <w:p>
      <w:pPr>
        <w:pStyle w:val="8"/>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highlight w:val="none"/>
          <w:shd w:val="clear" w:color="auto" w:fill="FFFFFF"/>
        </w:rPr>
      </w:pPr>
      <w:r>
        <w:rPr>
          <w:rFonts w:hint="eastAsia" w:ascii="黑体" w:hAnsi="黑体" w:eastAsia="黑体" w:cs="黑体"/>
          <w:i w:val="0"/>
          <w:iCs w:val="0"/>
          <w:caps w:val="0"/>
          <w:color w:val="000000"/>
          <w:spacing w:val="0"/>
          <w:sz w:val="32"/>
          <w:szCs w:val="32"/>
          <w:highlight w:val="none"/>
          <w:shd w:val="clear" w:color="auto" w:fill="FFFFFF"/>
        </w:rPr>
        <w:t>政府性基金预算支出情况</w:t>
      </w:r>
    </w:p>
    <w:p>
      <w:pPr>
        <w:pStyle w:val="17"/>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rPr>
      </w:pPr>
      <w:r>
        <w:rPr>
          <w:rFonts w:hint="eastAsia" w:ascii="Times New Roman" w:hAnsi="Times New Roman" w:eastAsia="仿宋_GB2312" w:cs="Times New Roman"/>
          <w:color w:val="auto"/>
          <w:kern w:val="0"/>
          <w:sz w:val="32"/>
          <w:szCs w:val="32"/>
          <w:highlight w:val="none"/>
          <w:lang w:val="en-US" w:eastAsia="zh-CN"/>
        </w:rPr>
        <w:t>2023年度政府性基金预算财政拨款收入26万元；年初结转和结余0万元；支出26万元，其中基本支出0万元，项目支出26万元。</w:t>
      </w:r>
    </w:p>
    <w:p>
      <w:pPr>
        <w:pStyle w:val="8"/>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highlight w:val="none"/>
          <w:shd w:val="clear" w:color="auto" w:fill="FFFFFF"/>
        </w:rPr>
      </w:pPr>
      <w:r>
        <w:rPr>
          <w:rFonts w:hint="eastAsia" w:ascii="黑体" w:hAnsi="黑体" w:eastAsia="黑体" w:cs="黑体"/>
          <w:i w:val="0"/>
          <w:iCs w:val="0"/>
          <w:caps w:val="0"/>
          <w:color w:val="000000"/>
          <w:spacing w:val="0"/>
          <w:sz w:val="32"/>
          <w:szCs w:val="32"/>
          <w:highlight w:val="none"/>
          <w:shd w:val="clear" w:color="auto" w:fill="FFFFFF"/>
        </w:rPr>
        <w:t>国有资本经营预算支出情况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textAlignment w:val="auto"/>
        <w:rPr>
          <w:rFonts w:hint="eastAsia" w:ascii="仿宋" w:hAnsi="仿宋" w:eastAsia="仿宋" w:cs="仿宋"/>
          <w:i w:val="0"/>
          <w:iCs w:val="0"/>
          <w:caps w:val="0"/>
          <w:color w:val="000000"/>
          <w:spacing w:val="0"/>
          <w:sz w:val="32"/>
          <w:szCs w:val="32"/>
          <w:highlight w:val="none"/>
          <w:shd w:val="clear" w:color="auto" w:fill="FFFFFF"/>
          <w:lang w:val="en-US" w:eastAsia="zh-CN"/>
        </w:rPr>
      </w:pPr>
      <w:r>
        <w:rPr>
          <w:rFonts w:hint="eastAsia" w:ascii="仿宋" w:hAnsi="仿宋" w:eastAsia="仿宋" w:cs="仿宋"/>
          <w:i w:val="0"/>
          <w:iCs w:val="0"/>
          <w:caps w:val="0"/>
          <w:color w:val="000000"/>
          <w:spacing w:val="0"/>
          <w:sz w:val="32"/>
          <w:szCs w:val="32"/>
          <w:highlight w:val="none"/>
          <w:shd w:val="clear" w:color="auto" w:fill="FFFFFF"/>
          <w:lang w:val="en-US" w:eastAsia="zh-CN"/>
        </w:rPr>
        <w:t>无</w:t>
      </w:r>
    </w:p>
    <w:p>
      <w:pPr>
        <w:pStyle w:val="8"/>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rightChars="0" w:firstLine="640" w:firstLineChars="200"/>
        <w:textAlignment w:val="auto"/>
        <w:rPr>
          <w:rFonts w:hint="eastAsia" w:ascii="黑体" w:hAnsi="黑体" w:eastAsia="黑体" w:cs="黑体"/>
          <w:i w:val="0"/>
          <w:iCs w:val="0"/>
          <w:caps w:val="0"/>
          <w:color w:val="000000"/>
          <w:spacing w:val="0"/>
          <w:sz w:val="32"/>
          <w:szCs w:val="32"/>
          <w:highlight w:val="none"/>
          <w:shd w:val="clear" w:color="auto" w:fill="FFFFFF"/>
        </w:rPr>
      </w:pPr>
      <w:r>
        <w:rPr>
          <w:rFonts w:hint="eastAsia" w:ascii="黑体" w:hAnsi="黑体" w:eastAsia="黑体" w:cs="黑体"/>
          <w:i w:val="0"/>
          <w:iCs w:val="0"/>
          <w:caps w:val="0"/>
          <w:color w:val="000000"/>
          <w:spacing w:val="0"/>
          <w:sz w:val="32"/>
          <w:szCs w:val="32"/>
          <w:highlight w:val="none"/>
          <w:shd w:val="clear" w:color="auto" w:fill="FFFFFF"/>
        </w:rPr>
        <w:t>社会保险基金预算支出情况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textAlignment w:val="auto"/>
        <w:rPr>
          <w:rFonts w:hint="eastAsia" w:ascii="仿宋" w:hAnsi="仿宋" w:eastAsia="仿宋" w:cs="仿宋"/>
          <w:i w:val="0"/>
          <w:iCs w:val="0"/>
          <w:caps w:val="0"/>
          <w:color w:val="000000"/>
          <w:spacing w:val="0"/>
          <w:sz w:val="32"/>
          <w:szCs w:val="32"/>
          <w:highlight w:val="none"/>
          <w:shd w:val="clear" w:color="auto" w:fill="FFFFFF"/>
          <w:lang w:eastAsia="zh-CN"/>
        </w:rPr>
      </w:pPr>
      <w:r>
        <w:rPr>
          <w:rFonts w:hint="eastAsia" w:ascii="仿宋" w:hAnsi="仿宋" w:eastAsia="仿宋" w:cs="仿宋"/>
          <w:i w:val="0"/>
          <w:iCs w:val="0"/>
          <w:caps w:val="0"/>
          <w:color w:val="000000"/>
          <w:spacing w:val="0"/>
          <w:sz w:val="32"/>
          <w:szCs w:val="32"/>
          <w:highlight w:val="none"/>
          <w:shd w:val="clear" w:color="auto" w:fill="FFFFFF"/>
          <w:lang w:eastAsia="zh-CN"/>
        </w:rPr>
        <w:t>无</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highlight w:val="none"/>
        </w:rPr>
      </w:pPr>
      <w:r>
        <w:rPr>
          <w:rFonts w:hint="eastAsia" w:ascii="黑体" w:hAnsi="黑体" w:eastAsia="黑体" w:cs="黑体"/>
          <w:i w:val="0"/>
          <w:iCs w:val="0"/>
          <w:caps w:val="0"/>
          <w:color w:val="000000"/>
          <w:spacing w:val="0"/>
          <w:sz w:val="32"/>
          <w:szCs w:val="32"/>
          <w:highlight w:val="none"/>
          <w:shd w:val="clear" w:color="auto" w:fill="FFFFFF"/>
          <w:lang w:eastAsia="zh-CN"/>
        </w:rPr>
        <w:t>六、</w:t>
      </w:r>
      <w:r>
        <w:rPr>
          <w:rFonts w:hint="eastAsia" w:ascii="黑体" w:hAnsi="黑体" w:eastAsia="黑体" w:cs="黑体"/>
          <w:i w:val="0"/>
          <w:iCs w:val="0"/>
          <w:caps w:val="0"/>
          <w:color w:val="000000"/>
          <w:spacing w:val="0"/>
          <w:sz w:val="32"/>
          <w:szCs w:val="32"/>
          <w:highlight w:val="none"/>
          <w:shd w:val="clear" w:color="auto" w:fill="FFFFFF"/>
        </w:rPr>
        <w:t>部门整体支出绩效情况</w:t>
      </w:r>
    </w:p>
    <w:p>
      <w:pPr>
        <w:pStyle w:val="8"/>
        <w:numPr>
          <w:ilvl w:val="0"/>
          <w:numId w:val="0"/>
        </w:numPr>
        <w:spacing w:before="0" w:beforeAutospacing="0" w:after="0" w:afterAutospacing="0" w:line="560" w:lineRule="exact"/>
        <w:ind w:right="0" w:rightChars="0" w:firstLine="640" w:firstLineChars="200"/>
        <w:rPr>
          <w:rFonts w:hint="default" w:ascii="楷体_GB2312" w:hAnsi="Times New Roman" w:eastAsia="楷体_GB2312" w:cs="楷体_GB2312"/>
          <w:b/>
          <w:bCs/>
          <w:i w:val="0"/>
          <w:iCs w:val="0"/>
          <w:caps w:val="0"/>
          <w:color w:val="000000"/>
          <w:spacing w:val="0"/>
          <w:kern w:val="2"/>
          <w:sz w:val="32"/>
          <w:szCs w:val="32"/>
          <w:highlight w:val="none"/>
          <w:shd w:val="clear" w:color="auto" w:fill="FFFFFF"/>
          <w:lang w:val="en-US" w:eastAsia="zh-CN" w:bidi="ar-SA"/>
        </w:rPr>
      </w:pPr>
      <w:r>
        <w:rPr>
          <w:rFonts w:hint="default" w:ascii="楷体_GB2312" w:hAnsi="Times New Roman" w:eastAsia="楷体_GB2312" w:cs="楷体_GB2312"/>
          <w:b/>
          <w:bCs/>
          <w:i w:val="0"/>
          <w:iCs w:val="0"/>
          <w:caps w:val="0"/>
          <w:color w:val="000000"/>
          <w:spacing w:val="0"/>
          <w:kern w:val="2"/>
          <w:sz w:val="32"/>
          <w:szCs w:val="32"/>
          <w:highlight w:val="none"/>
          <w:shd w:val="clear" w:color="auto" w:fill="FFFFFF"/>
          <w:lang w:val="en-US" w:eastAsia="zh-CN" w:bidi="ar-SA"/>
        </w:rPr>
        <w:t>（一）综合评价结论</w:t>
      </w:r>
    </w:p>
    <w:p>
      <w:pPr>
        <w:pStyle w:val="8"/>
        <w:numPr>
          <w:ilvl w:val="0"/>
          <w:numId w:val="0"/>
        </w:numPr>
        <w:spacing w:before="0" w:beforeAutospacing="0" w:after="0" w:afterAutospacing="0" w:line="560" w:lineRule="exact"/>
        <w:ind w:right="0" w:rightChars="0" w:firstLine="640" w:firstLineChars="200"/>
        <w:rPr>
          <w:rFonts w:hint="default" w:ascii="仿宋" w:hAnsi="仿宋" w:eastAsia="仿宋" w:cs="仿宋"/>
          <w:b w:val="0"/>
          <w:bCs w:val="0"/>
          <w:sz w:val="32"/>
          <w:szCs w:val="32"/>
          <w:highlight w:val="none"/>
          <w:lang w:val="en-US" w:eastAsia="zh-CN"/>
        </w:rPr>
      </w:pPr>
      <w:r>
        <w:rPr>
          <w:rFonts w:hint="eastAsia" w:ascii="仿宋" w:hAnsi="仿宋" w:eastAsia="仿宋" w:cs="仿宋"/>
          <w:color w:val="343233"/>
          <w:kern w:val="0"/>
          <w:sz w:val="32"/>
          <w:szCs w:val="32"/>
          <w:highlight w:val="none"/>
        </w:rPr>
        <w:t>由于年初预算安排及有目的进行了预算调整，有效的保障了</w:t>
      </w:r>
      <w:r>
        <w:rPr>
          <w:rFonts w:hint="eastAsia" w:ascii="仿宋" w:hAnsi="仿宋" w:eastAsia="仿宋" w:cs="仿宋"/>
          <w:bCs/>
          <w:sz w:val="32"/>
          <w:szCs w:val="32"/>
          <w:highlight w:val="none"/>
        </w:rPr>
        <w:t>各项业务工作顺利开展，反映良好</w:t>
      </w:r>
      <w:r>
        <w:rPr>
          <w:rFonts w:hint="eastAsia" w:ascii="仿宋" w:hAnsi="仿宋" w:eastAsia="仿宋" w:cs="仿宋"/>
          <w:bCs/>
          <w:sz w:val="32"/>
          <w:szCs w:val="32"/>
          <w:highlight w:val="none"/>
          <w:lang w:eastAsia="zh-CN"/>
        </w:rPr>
        <w:t>，绩效自评</w:t>
      </w:r>
      <w:r>
        <w:rPr>
          <w:rFonts w:hint="eastAsia" w:ascii="仿宋" w:hAnsi="仿宋" w:eastAsia="仿宋" w:cs="仿宋"/>
          <w:bCs/>
          <w:sz w:val="32"/>
          <w:szCs w:val="32"/>
          <w:highlight w:val="none"/>
          <w:lang w:val="en-US" w:eastAsia="zh-CN"/>
        </w:rPr>
        <w:t>95分</w:t>
      </w:r>
      <w:r>
        <w:rPr>
          <w:rFonts w:hint="eastAsia" w:ascii="仿宋" w:hAnsi="仿宋" w:eastAsia="仿宋" w:cs="仿宋"/>
          <w:bCs/>
          <w:sz w:val="32"/>
          <w:szCs w:val="32"/>
          <w:highlight w:val="none"/>
          <w:lang w:eastAsia="zh-CN"/>
        </w:rPr>
        <w:t>。</w:t>
      </w:r>
    </w:p>
    <w:p>
      <w:pPr>
        <w:pStyle w:val="8"/>
        <w:numPr>
          <w:ilvl w:val="0"/>
          <w:numId w:val="0"/>
        </w:numPr>
        <w:spacing w:before="0" w:beforeAutospacing="0" w:after="0" w:afterAutospacing="0" w:line="560" w:lineRule="exact"/>
        <w:ind w:right="0" w:rightChars="0" w:firstLine="640" w:firstLineChars="200"/>
        <w:rPr>
          <w:rFonts w:hint="default" w:ascii="楷体_GB2312" w:hAnsi="Times New Roman" w:eastAsia="楷体_GB2312" w:cs="楷体_GB2312"/>
          <w:b/>
          <w:bCs/>
          <w:i w:val="0"/>
          <w:iCs w:val="0"/>
          <w:caps w:val="0"/>
          <w:color w:val="000000"/>
          <w:spacing w:val="0"/>
          <w:sz w:val="32"/>
          <w:szCs w:val="32"/>
          <w:highlight w:val="none"/>
          <w:shd w:val="clear" w:color="auto" w:fill="FFFFFF"/>
        </w:rPr>
      </w:pPr>
      <w:r>
        <w:rPr>
          <w:rFonts w:hint="default" w:ascii="楷体_GB2312" w:hAnsi="Times New Roman" w:eastAsia="楷体_GB2312" w:cs="楷体_GB2312"/>
          <w:b/>
          <w:bCs/>
          <w:i w:val="0"/>
          <w:iCs w:val="0"/>
          <w:caps w:val="0"/>
          <w:color w:val="000000"/>
          <w:spacing w:val="0"/>
          <w:sz w:val="32"/>
          <w:szCs w:val="32"/>
          <w:highlight w:val="none"/>
          <w:shd w:val="clear" w:color="auto" w:fill="FFFFFF"/>
        </w:rPr>
        <w:t>（二）评价指标分析</w:t>
      </w:r>
    </w:p>
    <w:p>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根据我</w:t>
      </w:r>
      <w:r>
        <w:rPr>
          <w:rFonts w:hint="eastAsia" w:ascii="仿宋_GB2312" w:hAnsi="仿宋_GB2312" w:eastAsia="仿宋_GB2312" w:cs="仿宋_GB2312"/>
          <w:sz w:val="32"/>
          <w:szCs w:val="32"/>
          <w:highlight w:val="none"/>
          <w:lang w:eastAsia="zh-CN"/>
        </w:rPr>
        <w:t>单位</w:t>
      </w:r>
      <w:r>
        <w:rPr>
          <w:rFonts w:hint="eastAsia" w:ascii="仿宋_GB2312" w:hAnsi="仿宋_GB2312" w:eastAsia="仿宋_GB2312" w:cs="仿宋_GB2312"/>
          <w:sz w:val="32"/>
          <w:szCs w:val="32"/>
          <w:highlight w:val="none"/>
        </w:rPr>
        <w:t>年初计划确定的重点工作任务，本单位通过对财政资金的使用，取得了如下绩效：</w:t>
      </w:r>
    </w:p>
    <w:p>
      <w:pPr>
        <w:keepNext w:val="0"/>
        <w:keepLines w:val="0"/>
        <w:pageBreakBefore w:val="0"/>
        <w:widowControl/>
        <w:suppressLineNumbers w:val="0"/>
        <w:kinsoku/>
        <w:wordWrap/>
        <w:overflowPunct/>
        <w:topLinePunct w:val="0"/>
        <w:autoSpaceDE/>
        <w:autoSpaceDN/>
        <w:bidi w:val="0"/>
        <w:adjustRightInd/>
        <w:snapToGrid/>
        <w:spacing w:line="640" w:lineRule="exact"/>
        <w:ind w:firstLine="640" w:firstLineChars="200"/>
        <w:jc w:val="left"/>
        <w:textAlignment w:val="center"/>
        <w:rPr>
          <w:rFonts w:hint="eastAsia" w:ascii="仿宋" w:hAnsi="仿宋" w:eastAsia="仿宋" w:cs="仿宋"/>
          <w:color w:val="000000" w:themeColor="text1"/>
          <w:spacing w:val="0"/>
          <w:kern w:val="2"/>
          <w:sz w:val="32"/>
          <w:szCs w:val="32"/>
          <w:highlight w:val="none"/>
          <w:lang w:val="en-US" w:eastAsia="zh-CN" w:bidi="ar-SA"/>
        </w:rPr>
      </w:pPr>
      <w:r>
        <w:rPr>
          <w:rFonts w:hint="eastAsia" w:ascii="仿宋" w:hAnsi="仿宋" w:eastAsia="仿宋" w:cs="仿宋"/>
          <w:color w:val="000000" w:themeColor="text1"/>
          <w:spacing w:val="0"/>
          <w:kern w:val="2"/>
          <w:sz w:val="32"/>
          <w:szCs w:val="32"/>
          <w:highlight w:val="none"/>
          <w:lang w:val="en-US" w:eastAsia="zh-CN" w:bidi="ar-SA"/>
        </w:rPr>
        <w:t>2023年，在县委的正确领导下，在市委宣传部的精心指导下，县委宣传部深入学习贯彻习近平新时代中国特色社会主义思想和党的二十大精神，认真落实全国、全省、全市宣传思想工作会议精神，理论武装持续深化、主流舆论巩固壮大、精神文明稳中向好、文艺文化繁荣发展、意识形态安全平稳，各项工作不断取得新进展、新成效，先后获评湖南省“扫黄打非”优秀集体、全县安全生产和消防（含森林防灭火）工作优秀单位、全县平安建设先进单位、全县河长制工作先进单位、争资立项工作一类单位等殊荣，为锚定“三高四新”美好蓝图，积极落实“五新四城”战略，深入实施“1354”工程，奋力推动会同经济社会高质量发展贡献了宣传部门力量。</w:t>
      </w:r>
    </w:p>
    <w:p>
      <w:pPr>
        <w:pStyle w:val="8"/>
        <w:widowControl/>
        <w:shd w:val="clear" w:color="auto" w:fill="FFFFFF"/>
        <w:snapToGrid w:val="0"/>
        <w:spacing w:before="0" w:beforeAutospacing="0" w:after="0" w:afterAutospacing="0" w:line="52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shd w:val="clear" w:color="auto" w:fill="FFFFFF"/>
        </w:rPr>
        <w:t>七、存在的问题及原因分析</w:t>
      </w:r>
    </w:p>
    <w:p>
      <w:pPr>
        <w:pStyle w:val="5"/>
        <w:ind w:firstLine="640" w:firstLineChars="200"/>
        <w:rPr>
          <w:rFonts w:hint="eastAsia" w:eastAsia="仿宋_GB2312"/>
          <w:lang w:val="en-US" w:eastAsia="zh-CN"/>
        </w:rPr>
      </w:pPr>
      <w:r>
        <w:rPr>
          <w:rFonts w:ascii="仿宋_GB2312" w:eastAsia="仿宋_GB2312" w:cs="仿宋_GB2312"/>
          <w:color w:val="000000"/>
          <w:sz w:val="32"/>
          <w:szCs w:val="32"/>
          <w:shd w:val="clear" w:color="auto" w:fill="FFFFFF"/>
        </w:rPr>
        <w:t>主要</w:t>
      </w:r>
      <w:r>
        <w:rPr>
          <w:rFonts w:hint="eastAsia" w:ascii="仿宋_GB2312" w:eastAsia="仿宋_GB2312" w:cs="仿宋_GB2312"/>
          <w:color w:val="000000"/>
          <w:sz w:val="32"/>
          <w:szCs w:val="32"/>
          <w:shd w:val="clear" w:color="auto" w:fill="FFFFFF"/>
        </w:rPr>
        <w:t>是</w:t>
      </w:r>
      <w:r>
        <w:rPr>
          <w:rFonts w:hint="eastAsia" w:ascii="仿宋_GB2312" w:hAnsi="楷体" w:eastAsia="仿宋_GB2312" w:cs="楷体"/>
          <w:b w:val="0"/>
          <w:bCs/>
          <w:color w:val="000000" w:themeColor="text1"/>
          <w:spacing w:val="-6"/>
          <w:kern w:val="2"/>
          <w:sz w:val="32"/>
          <w:szCs w:val="32"/>
          <w:highlight w:val="none"/>
          <w:lang w:val="en-US" w:eastAsia="zh-CN" w:bidi="ar-SA"/>
        </w:rPr>
        <w:t>志愿者服务管理人员经费</w:t>
      </w:r>
      <w:r>
        <w:rPr>
          <w:rFonts w:hint="eastAsia" w:ascii="仿宋_GB2312" w:eastAsia="仿宋_GB2312" w:cs="仿宋_GB2312"/>
          <w:color w:val="000000"/>
          <w:sz w:val="32"/>
          <w:szCs w:val="32"/>
          <w:shd w:val="clear" w:color="auto" w:fill="FFFFFF"/>
        </w:rPr>
        <w:t>专项资金纳入年初项目预算</w:t>
      </w:r>
      <w:r>
        <w:rPr>
          <w:rFonts w:hint="eastAsia" w:ascii="仿宋_GB2312" w:eastAsia="仿宋_GB2312" w:cs="仿宋_GB2312"/>
          <w:color w:val="000000"/>
          <w:sz w:val="32"/>
          <w:szCs w:val="32"/>
          <w:shd w:val="clear" w:color="auto" w:fill="FFFFFF"/>
          <w:lang w:eastAsia="zh-CN"/>
        </w:rPr>
        <w:t>资金为</w:t>
      </w:r>
      <w:r>
        <w:rPr>
          <w:rFonts w:hint="eastAsia" w:ascii="仿宋_GB2312" w:eastAsia="仿宋_GB2312" w:cs="仿宋_GB2312"/>
          <w:color w:val="000000"/>
          <w:sz w:val="32"/>
          <w:szCs w:val="32"/>
          <w:shd w:val="clear" w:color="auto" w:fill="FFFFFF"/>
          <w:lang w:val="en-US" w:eastAsia="zh-CN"/>
        </w:rPr>
        <w:t>6万元</w:t>
      </w:r>
      <w:r>
        <w:rPr>
          <w:rFonts w:hint="eastAsia" w:ascii="仿宋_GB2312" w:eastAsia="仿宋_GB2312" w:cs="仿宋_GB2312"/>
          <w:color w:val="000000"/>
          <w:sz w:val="32"/>
          <w:szCs w:val="32"/>
          <w:shd w:val="clear" w:color="auto" w:fill="FFFFFF"/>
        </w:rPr>
        <w:t>，</w:t>
      </w:r>
      <w:r>
        <w:rPr>
          <w:rFonts w:hint="eastAsia" w:ascii="仿宋_GB2312" w:eastAsia="仿宋_GB2312" w:cs="仿宋_GB2312"/>
          <w:color w:val="000000"/>
          <w:sz w:val="32"/>
          <w:szCs w:val="32"/>
          <w:shd w:val="clear" w:color="auto" w:fill="FFFFFF"/>
          <w:lang w:eastAsia="zh-CN"/>
        </w:rPr>
        <w:t>由于机构改革原因，从</w:t>
      </w:r>
      <w:r>
        <w:rPr>
          <w:rFonts w:hint="eastAsia" w:ascii="仿宋_GB2312" w:eastAsia="仿宋_GB2312" w:cs="仿宋_GB2312"/>
          <w:color w:val="000000"/>
          <w:sz w:val="32"/>
          <w:szCs w:val="32"/>
          <w:shd w:val="clear" w:color="auto" w:fill="FFFFFF"/>
          <w:lang w:val="en-US" w:eastAsia="zh-CN"/>
        </w:rPr>
        <w:t>2024年7月开始，</w:t>
      </w:r>
      <w:r>
        <w:rPr>
          <w:rFonts w:hint="eastAsia" w:ascii="仿宋_GB2312" w:hAnsi="Times New Roman" w:eastAsia="仿宋_GB2312" w:cs="仿宋_GB2312"/>
          <w:color w:val="000000"/>
          <w:sz w:val="32"/>
          <w:szCs w:val="32"/>
          <w:shd w:val="clear" w:color="auto" w:fill="FFFFFF"/>
          <w:lang w:val="en-US" w:eastAsia="zh-CN"/>
        </w:rPr>
        <w:t>指导协调和管理学雷锋</w:t>
      </w:r>
      <w:r>
        <w:rPr>
          <w:rFonts w:hint="eastAsia" w:ascii="仿宋_GB2312" w:hAnsi="Times New Roman" w:eastAsia="仿宋_GB2312" w:cs="仿宋_GB2312"/>
          <w:color w:val="000000"/>
          <w:sz w:val="32"/>
          <w:szCs w:val="32"/>
          <w:shd w:val="clear" w:color="auto" w:fill="FFFFFF"/>
          <w:lang w:eastAsia="zh-CN"/>
        </w:rPr>
        <w:t>志愿服务工作职</w:t>
      </w:r>
      <w:r>
        <w:rPr>
          <w:rFonts w:hint="eastAsia" w:ascii="仿宋_GB2312" w:eastAsia="仿宋_GB2312" w:cs="仿宋_GB2312"/>
          <w:color w:val="000000"/>
          <w:sz w:val="32"/>
          <w:szCs w:val="32"/>
          <w:shd w:val="clear" w:color="auto" w:fill="FFFFFF"/>
          <w:lang w:eastAsia="zh-CN"/>
        </w:rPr>
        <w:t>能由县委宣传部划分至县委社会工作部，</w:t>
      </w:r>
      <w:r>
        <w:rPr>
          <w:rFonts w:hint="eastAsia" w:ascii="仿宋_GB2312" w:eastAsia="仿宋_GB2312" w:cs="仿宋_GB2312"/>
          <w:color w:val="000000"/>
          <w:sz w:val="32"/>
          <w:szCs w:val="32"/>
          <w:shd w:val="clear" w:color="auto" w:fill="FFFFFF"/>
        </w:rPr>
        <w:t>致使预算执行时偏离绩效目标成本指标</w:t>
      </w:r>
      <w:r>
        <w:rPr>
          <w:rFonts w:hint="eastAsia" w:ascii="仿宋_GB2312" w:eastAsia="仿宋_GB2312" w:cs="仿宋_GB2312"/>
          <w:color w:val="000000"/>
          <w:sz w:val="32"/>
          <w:szCs w:val="32"/>
          <w:shd w:val="clear" w:color="auto" w:fill="FFFFFF"/>
          <w:lang w:eastAsia="zh-CN"/>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textAlignment w:val="auto"/>
        <w:rPr>
          <w:rFonts w:hint="eastAsia" w:ascii="黑体" w:hAnsi="黑体" w:eastAsia="黑体" w:cs="黑体"/>
          <w:i w:val="0"/>
          <w:iCs w:val="0"/>
          <w:caps w:val="0"/>
          <w:color w:val="000000"/>
          <w:spacing w:val="0"/>
          <w:sz w:val="32"/>
          <w:szCs w:val="32"/>
          <w:highlight w:val="none"/>
          <w:shd w:val="clear" w:color="auto" w:fill="FFFFFF"/>
        </w:rPr>
      </w:pPr>
      <w:r>
        <w:rPr>
          <w:rFonts w:hint="eastAsia" w:ascii="黑体" w:hAnsi="黑体" w:eastAsia="黑体" w:cs="黑体"/>
          <w:i w:val="0"/>
          <w:iCs w:val="0"/>
          <w:caps w:val="0"/>
          <w:color w:val="000000"/>
          <w:spacing w:val="0"/>
          <w:sz w:val="32"/>
          <w:szCs w:val="32"/>
          <w:highlight w:val="none"/>
          <w:shd w:val="clear" w:color="auto" w:fill="FFFFFF"/>
          <w:lang w:eastAsia="zh-CN"/>
        </w:rPr>
        <w:t>八、</w:t>
      </w:r>
      <w:r>
        <w:rPr>
          <w:rFonts w:hint="eastAsia" w:ascii="黑体" w:hAnsi="黑体" w:eastAsia="黑体" w:cs="黑体"/>
          <w:i w:val="0"/>
          <w:iCs w:val="0"/>
          <w:caps w:val="0"/>
          <w:color w:val="000000"/>
          <w:spacing w:val="0"/>
          <w:sz w:val="32"/>
          <w:szCs w:val="32"/>
          <w:highlight w:val="none"/>
          <w:shd w:val="clear" w:color="auto" w:fill="FFFFFF"/>
        </w:rPr>
        <w:t>下一步改进措施</w:t>
      </w:r>
    </w:p>
    <w:p>
      <w:pPr>
        <w:numPr>
          <w:ilvl w:val="0"/>
          <w:numId w:val="0"/>
        </w:numPr>
        <w:ind w:firstLine="640" w:firstLineChars="200"/>
        <w:rPr>
          <w:rFonts w:hint="eastAsia" w:ascii="仿宋" w:hAnsi="仿宋" w:eastAsia="仿宋" w:cs="仿宋"/>
          <w:i w:val="0"/>
          <w:iCs w:val="0"/>
          <w:caps w:val="0"/>
          <w:color w:val="000000"/>
          <w:spacing w:val="0"/>
          <w:sz w:val="32"/>
          <w:szCs w:val="32"/>
          <w:highlight w:val="none"/>
          <w:shd w:val="clear" w:color="auto" w:fill="FFFFFF"/>
          <w:lang w:val="en-US" w:eastAsia="zh-CN"/>
        </w:rPr>
      </w:pPr>
      <w:r>
        <w:rPr>
          <w:rFonts w:hint="eastAsia" w:ascii="黑体" w:hAnsi="黑体" w:eastAsia="黑体" w:cs="黑体"/>
          <w:i w:val="0"/>
          <w:iCs w:val="0"/>
          <w:caps w:val="0"/>
          <w:color w:val="000000"/>
          <w:spacing w:val="0"/>
          <w:sz w:val="32"/>
          <w:szCs w:val="32"/>
          <w:highlight w:val="none"/>
          <w:shd w:val="clear" w:color="auto" w:fill="FFFFFF"/>
          <w:lang w:val="en-US" w:eastAsia="zh-CN"/>
        </w:rPr>
        <w:t xml:space="preserve"> </w:t>
      </w:r>
      <w:r>
        <w:rPr>
          <w:rFonts w:hint="eastAsia" w:ascii="仿宋_GB2312" w:hAnsi="仿宋_GB2312" w:eastAsia="仿宋_GB2312" w:cs="仿宋_GB2312"/>
          <w:sz w:val="32"/>
          <w:szCs w:val="32"/>
          <w:highlight w:val="none"/>
        </w:rPr>
        <w:t>预算安排</w:t>
      </w:r>
      <w:r>
        <w:rPr>
          <w:rFonts w:hint="eastAsia" w:ascii="仿宋_GB2312" w:hAnsi="仿宋_GB2312" w:eastAsia="仿宋_GB2312" w:cs="仿宋_GB2312"/>
          <w:sz w:val="32"/>
          <w:szCs w:val="32"/>
          <w:highlight w:val="none"/>
          <w:lang w:eastAsia="zh-CN"/>
        </w:rPr>
        <w:t>需</w:t>
      </w:r>
      <w:r>
        <w:rPr>
          <w:rFonts w:hint="eastAsia" w:ascii="仿宋_GB2312" w:hAnsi="仿宋_GB2312" w:eastAsia="仿宋_GB2312" w:cs="仿宋_GB2312"/>
          <w:sz w:val="32"/>
          <w:szCs w:val="32"/>
          <w:highlight w:val="none"/>
        </w:rPr>
        <w:t>要更精细、准确，安排的支出经济科目要</w:t>
      </w:r>
      <w:r>
        <w:rPr>
          <w:rFonts w:hint="eastAsia" w:ascii="仿宋_GB2312" w:hAnsi="仿宋_GB2312" w:eastAsia="仿宋_GB2312" w:cs="仿宋_GB2312"/>
          <w:sz w:val="32"/>
          <w:szCs w:val="32"/>
          <w:highlight w:val="none"/>
          <w:lang w:eastAsia="zh-CN"/>
        </w:rPr>
        <w:t>更</w:t>
      </w:r>
      <w:r>
        <w:rPr>
          <w:rFonts w:hint="eastAsia" w:ascii="仿宋_GB2312" w:hAnsi="仿宋_GB2312" w:eastAsia="仿宋_GB2312" w:cs="仿宋_GB2312"/>
          <w:sz w:val="32"/>
          <w:szCs w:val="32"/>
          <w:highlight w:val="none"/>
        </w:rPr>
        <w:t>准确，无预算不支出</w:t>
      </w:r>
      <w:r>
        <w:rPr>
          <w:rFonts w:hint="eastAsia" w:ascii="仿宋_GB2312" w:hAnsi="仿宋_GB2312" w:eastAsia="仿宋_GB2312" w:cs="仿宋_GB2312"/>
          <w:sz w:val="32"/>
          <w:szCs w:val="32"/>
          <w:highlight w:val="none"/>
          <w:lang w:eastAsia="zh-CN"/>
        </w:rPr>
        <w:t>。</w:t>
      </w:r>
      <w:r>
        <w:rPr>
          <w:rFonts w:hint="eastAsia" w:ascii="仿宋" w:hAnsi="仿宋" w:eastAsia="仿宋" w:cs="仿宋"/>
          <w:sz w:val="32"/>
          <w:szCs w:val="32"/>
          <w:highlight w:val="none"/>
        </w:rPr>
        <w:t>进一步完善各项管理制度，确保高质量完成</w:t>
      </w:r>
      <w:r>
        <w:rPr>
          <w:rFonts w:hint="eastAsia" w:ascii="仿宋" w:hAnsi="仿宋" w:eastAsia="仿宋" w:cs="仿宋"/>
          <w:sz w:val="32"/>
          <w:szCs w:val="32"/>
          <w:highlight w:val="none"/>
          <w:lang w:eastAsia="zh-CN"/>
        </w:rPr>
        <w:t>各项工作。</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highlight w:val="none"/>
        </w:rPr>
      </w:pPr>
      <w:r>
        <w:rPr>
          <w:rFonts w:hint="eastAsia" w:ascii="黑体" w:hAnsi="黑体" w:eastAsia="黑体" w:cs="黑体"/>
          <w:i w:val="0"/>
          <w:iCs w:val="0"/>
          <w:caps w:val="0"/>
          <w:color w:val="000000"/>
          <w:spacing w:val="0"/>
          <w:sz w:val="32"/>
          <w:szCs w:val="32"/>
          <w:highlight w:val="none"/>
          <w:shd w:val="clear" w:color="auto" w:fill="FFFFFF"/>
          <w:lang w:eastAsia="zh-CN"/>
        </w:rPr>
        <w:t>九</w:t>
      </w:r>
      <w:r>
        <w:rPr>
          <w:rFonts w:hint="eastAsia" w:ascii="黑体" w:hAnsi="黑体" w:eastAsia="黑体" w:cs="黑体"/>
          <w:i w:val="0"/>
          <w:iCs w:val="0"/>
          <w:caps w:val="0"/>
          <w:color w:val="000000"/>
          <w:spacing w:val="0"/>
          <w:sz w:val="32"/>
          <w:szCs w:val="32"/>
          <w:highlight w:val="none"/>
          <w:shd w:val="clear" w:color="auto" w:fill="FFFFFF"/>
        </w:rPr>
        <w:t>、其他需要说明的情况</w:t>
      </w:r>
    </w:p>
    <w:p>
      <w:pPr>
        <w:spacing w:line="560" w:lineRule="exact"/>
        <w:ind w:firstLine="640" w:firstLineChars="200"/>
        <w:rPr>
          <w:rFonts w:hint="default" w:ascii="Calibri" w:hAnsi="Calibri" w:cs="Calibri"/>
          <w:i w:val="0"/>
          <w:iCs w:val="0"/>
          <w:caps w:val="0"/>
          <w:color w:val="000000"/>
          <w:spacing w:val="0"/>
          <w:sz w:val="24"/>
          <w:szCs w:val="24"/>
          <w:highlight w:val="none"/>
        </w:rPr>
      </w:pPr>
      <w:r>
        <w:rPr>
          <w:rFonts w:hint="eastAsia" w:ascii="仿宋" w:hAnsi="仿宋" w:eastAsia="仿宋" w:cs="仿宋"/>
          <w:sz w:val="32"/>
          <w:szCs w:val="32"/>
          <w:highlight w:val="none"/>
          <w:lang w:eastAsia="zh-CN"/>
        </w:rPr>
        <w:t>本</w:t>
      </w:r>
      <w:r>
        <w:rPr>
          <w:rFonts w:hint="eastAsia" w:ascii="仿宋" w:hAnsi="仿宋" w:eastAsia="仿宋" w:cs="仿宋"/>
          <w:sz w:val="32"/>
          <w:szCs w:val="32"/>
          <w:highlight w:val="none"/>
        </w:rPr>
        <w:t>单位认真履行部门“三定”方案确定的职责。没有存在截留、挤占、挪用、虚列支出等情况；基础数据信息和会计信息资料真实、完整、准确。并按规定内容公开预、决算信息。对有关财务方面文件及时掌握</w:t>
      </w:r>
      <w:r>
        <w:rPr>
          <w:rFonts w:hint="eastAsia" w:ascii="仿宋" w:hAnsi="仿宋" w:eastAsia="仿宋" w:cs="仿宋"/>
          <w:sz w:val="32"/>
          <w:szCs w:val="32"/>
          <w:highlight w:val="none"/>
          <w:lang w:eastAsia="zh-CN"/>
        </w:rPr>
        <w:t>。</w:t>
      </w:r>
    </w:p>
    <w:p>
      <w:pPr>
        <w:rPr>
          <w:highlight w:val="none"/>
        </w:rPr>
      </w:pPr>
    </w:p>
    <w:p>
      <w:pPr>
        <w:pStyle w:val="17"/>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 xml:space="preserve">          </w:t>
      </w:r>
      <w:r>
        <w:rPr>
          <w:rFonts w:hint="eastAsia" w:ascii="Times New Roman" w:hAnsi="Times New Roman" w:eastAsia="仿宋_GB2312"/>
          <w:sz w:val="32"/>
          <w:szCs w:val="32"/>
          <w:highlight w:val="none"/>
          <w:lang w:val="en-US" w:eastAsia="zh-CN"/>
        </w:rPr>
        <w:t xml:space="preserve">                </w:t>
      </w:r>
    </w:p>
    <w:p>
      <w:pPr>
        <w:pStyle w:val="17"/>
        <w:keepNext w:val="0"/>
        <w:keepLines w:val="0"/>
        <w:pageBreakBefore w:val="0"/>
        <w:widowControl w:val="0"/>
        <w:kinsoku/>
        <w:wordWrap/>
        <w:overflowPunct/>
        <w:topLinePunct w:val="0"/>
        <w:bidi w:val="0"/>
        <w:snapToGrid/>
        <w:spacing w:line="580" w:lineRule="exact"/>
        <w:ind w:firstLine="640" w:firstLineChars="200"/>
        <w:jc w:val="left"/>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 xml:space="preserve">       </w:t>
      </w:r>
    </w:p>
    <w:p/>
    <w:sectPr>
      <w:footerReference r:id="rId3" w:type="default"/>
      <w:pgSz w:w="11906" w:h="16838"/>
      <w:pgMar w:top="1440" w:right="1803" w:bottom="1440" w:left="1803" w:header="851" w:footer="992" w:gutter="0"/>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735187"/>
    <w:multiLevelType w:val="singleLevel"/>
    <w:tmpl w:val="A1735187"/>
    <w:lvl w:ilvl="0" w:tentative="0">
      <w:start w:val="3"/>
      <w:numFmt w:val="chineseCounting"/>
      <w:suff w:val="nothing"/>
      <w:lvlText w:val="%1、"/>
      <w:lvlJc w:val="left"/>
      <w:rPr>
        <w:rFonts w:hint="eastAsia"/>
      </w:rPr>
    </w:lvl>
  </w:abstractNum>
  <w:abstractNum w:abstractNumId="1">
    <w:nsid w:val="7A5E029E"/>
    <w:multiLevelType w:val="singleLevel"/>
    <w:tmpl w:val="7A5E029E"/>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E0YTQ0NjVkNDIwOTFiOGVjMzM0NzE2NmNlNzk4M2IifQ=="/>
  </w:docVars>
  <w:rsids>
    <w:rsidRoot w:val="45B53DB0"/>
    <w:rsid w:val="001A58B2"/>
    <w:rsid w:val="00255B7C"/>
    <w:rsid w:val="00291C91"/>
    <w:rsid w:val="002C0C5C"/>
    <w:rsid w:val="004F3B98"/>
    <w:rsid w:val="005F2A9C"/>
    <w:rsid w:val="0063238E"/>
    <w:rsid w:val="006D5EEE"/>
    <w:rsid w:val="007B1190"/>
    <w:rsid w:val="00991A2F"/>
    <w:rsid w:val="009C02F3"/>
    <w:rsid w:val="00A51268"/>
    <w:rsid w:val="00AD40AB"/>
    <w:rsid w:val="00B2643D"/>
    <w:rsid w:val="00BF6BCC"/>
    <w:rsid w:val="00DE3EB3"/>
    <w:rsid w:val="00ED506A"/>
    <w:rsid w:val="00FA3B5A"/>
    <w:rsid w:val="014C26A4"/>
    <w:rsid w:val="063D115E"/>
    <w:rsid w:val="067F49DD"/>
    <w:rsid w:val="08377278"/>
    <w:rsid w:val="0EBE0962"/>
    <w:rsid w:val="11ED060F"/>
    <w:rsid w:val="13173D57"/>
    <w:rsid w:val="147E37E3"/>
    <w:rsid w:val="19D70B73"/>
    <w:rsid w:val="1F7D6307"/>
    <w:rsid w:val="202F346E"/>
    <w:rsid w:val="20C647F6"/>
    <w:rsid w:val="22E744D4"/>
    <w:rsid w:val="2F53293A"/>
    <w:rsid w:val="2FDB53C0"/>
    <w:rsid w:val="32E60475"/>
    <w:rsid w:val="3604510C"/>
    <w:rsid w:val="37973410"/>
    <w:rsid w:val="389E1315"/>
    <w:rsid w:val="39567261"/>
    <w:rsid w:val="399C171C"/>
    <w:rsid w:val="39C770E9"/>
    <w:rsid w:val="3B894744"/>
    <w:rsid w:val="3CE85A48"/>
    <w:rsid w:val="3D205E93"/>
    <w:rsid w:val="45B53DB0"/>
    <w:rsid w:val="462F60CE"/>
    <w:rsid w:val="48BF71D5"/>
    <w:rsid w:val="49DC7913"/>
    <w:rsid w:val="4CD71E51"/>
    <w:rsid w:val="554E45DB"/>
    <w:rsid w:val="57825F9E"/>
    <w:rsid w:val="5CDE3232"/>
    <w:rsid w:val="5D091799"/>
    <w:rsid w:val="602F5097"/>
    <w:rsid w:val="60646B56"/>
    <w:rsid w:val="61A15272"/>
    <w:rsid w:val="62206ADF"/>
    <w:rsid w:val="633538E4"/>
    <w:rsid w:val="64FA4AFF"/>
    <w:rsid w:val="68040309"/>
    <w:rsid w:val="68203558"/>
    <w:rsid w:val="6B4D0973"/>
    <w:rsid w:val="6CD75FEC"/>
    <w:rsid w:val="710E1D7D"/>
    <w:rsid w:val="71643360"/>
    <w:rsid w:val="74471A90"/>
    <w:rsid w:val="749F0CF3"/>
    <w:rsid w:val="75783CC7"/>
    <w:rsid w:val="77000835"/>
    <w:rsid w:val="770337B9"/>
    <w:rsid w:val="78EE4DE9"/>
    <w:rsid w:val="7C261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unhideWhenUsed/>
    <w:qFormat/>
    <w:uiPriority w:val="0"/>
    <w:pPr>
      <w:keepNext/>
      <w:keepLines/>
      <w:spacing w:line="560" w:lineRule="exact"/>
      <w:ind w:firstLine="880" w:firstLineChars="200"/>
      <w:outlineLvl w:val="1"/>
    </w:pPr>
    <w:rPr>
      <w:rFonts w:ascii="Arial" w:hAnsi="Arial" w:eastAsia="黑体"/>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3"/>
    <w:link w:val="15"/>
    <w:qFormat/>
    <w:uiPriority w:val="0"/>
    <w:pPr>
      <w:tabs>
        <w:tab w:val="center" w:pos="4153"/>
        <w:tab w:val="right" w:pos="8306"/>
      </w:tabs>
      <w:snapToGrid w:val="0"/>
      <w:jc w:val="left"/>
    </w:pPr>
    <w:rPr>
      <w:sz w:val="18"/>
      <w:szCs w:val="18"/>
    </w:rPr>
  </w:style>
  <w:style w:type="paragraph" w:styleId="3">
    <w:name w:val="index 5"/>
    <w:basedOn w:val="1"/>
    <w:next w:val="1"/>
    <w:qFormat/>
    <w:uiPriority w:val="0"/>
    <w:pPr>
      <w:ind w:left="1680"/>
    </w:pPr>
  </w:style>
  <w:style w:type="paragraph" w:styleId="5">
    <w:name w:val="Body Text"/>
    <w:basedOn w:val="1"/>
    <w:next w:val="6"/>
    <w:qFormat/>
    <w:uiPriority w:val="99"/>
    <w:pPr>
      <w:spacing w:after="120"/>
    </w:pPr>
  </w:style>
  <w:style w:type="paragraph" w:styleId="6">
    <w:name w:val="toc 5"/>
    <w:basedOn w:val="1"/>
    <w:next w:val="1"/>
    <w:qFormat/>
    <w:uiPriority w:val="0"/>
    <w:pPr>
      <w:ind w:left="1680" w:leftChars="800"/>
    </w:pPr>
    <w:rPr>
      <w:rFonts w:ascii="Times New Roman" w:hAnsi="Times New Roman"/>
    </w:rPr>
  </w:style>
  <w:style w:type="paragraph" w:styleId="7">
    <w:name w:val="header"/>
    <w:basedOn w:val="1"/>
    <w:link w:val="14"/>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jc w:val="left"/>
    </w:pPr>
    <w:rPr>
      <w:kern w:val="0"/>
      <w:sz w:val="24"/>
    </w:rPr>
  </w:style>
  <w:style w:type="paragraph" w:customStyle="1" w:styleId="11">
    <w:name w:val="BodyText1I2"/>
    <w:basedOn w:val="12"/>
    <w:next w:val="1"/>
    <w:unhideWhenUsed/>
    <w:qFormat/>
    <w:uiPriority w:val="0"/>
    <w:pPr>
      <w:ind w:firstLine="200" w:firstLineChars="200"/>
    </w:pPr>
    <w:rPr>
      <w:rFonts w:hint="default" w:ascii="Calibri" w:hAnsi="Calibri" w:eastAsia="仿宋_GB2312"/>
      <w:sz w:val="36"/>
    </w:rPr>
  </w:style>
  <w:style w:type="paragraph" w:customStyle="1" w:styleId="12">
    <w:name w:val="BodyTextIndent"/>
    <w:basedOn w:val="1"/>
    <w:unhideWhenUsed/>
    <w:qFormat/>
    <w:uiPriority w:val="0"/>
    <w:pPr>
      <w:spacing w:after="120"/>
      <w:ind w:left="420" w:leftChars="200"/>
      <w:textAlignment w:val="baseline"/>
    </w:pPr>
    <w:rPr>
      <w:rFonts w:hint="eastAsia"/>
    </w:rPr>
  </w:style>
  <w:style w:type="paragraph" w:customStyle="1" w:styleId="13">
    <w:name w:val="标题1"/>
    <w:basedOn w:val="4"/>
    <w:qFormat/>
    <w:uiPriority w:val="0"/>
  </w:style>
  <w:style w:type="character" w:customStyle="1" w:styleId="14">
    <w:name w:val="页眉 Char"/>
    <w:basedOn w:val="10"/>
    <w:link w:val="7"/>
    <w:uiPriority w:val="0"/>
    <w:rPr>
      <w:rFonts w:ascii="Times New Roman" w:hAnsi="Times New Roman" w:eastAsia="宋体" w:cs="Times New Roman"/>
      <w:kern w:val="2"/>
      <w:sz w:val="18"/>
      <w:szCs w:val="18"/>
    </w:rPr>
  </w:style>
  <w:style w:type="character" w:customStyle="1" w:styleId="15">
    <w:name w:val="页脚 Char"/>
    <w:basedOn w:val="10"/>
    <w:link w:val="2"/>
    <w:uiPriority w:val="0"/>
    <w:rPr>
      <w:rFonts w:ascii="Times New Roman" w:hAnsi="Times New Roman" w:eastAsia="宋体" w:cs="Times New Roman"/>
      <w:kern w:val="2"/>
      <w:sz w:val="18"/>
      <w:szCs w:val="18"/>
    </w:rPr>
  </w:style>
  <w:style w:type="paragraph" w:styleId="16">
    <w:name w:val="List Paragraph"/>
    <w:basedOn w:val="1"/>
    <w:unhideWhenUsed/>
    <w:qFormat/>
    <w:uiPriority w:val="99"/>
    <w:pPr>
      <w:ind w:firstLine="420" w:firstLineChars="200"/>
    </w:pPr>
  </w:style>
  <w:style w:type="paragraph" w:customStyle="1" w:styleId="17">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249</Words>
  <Characters>1425</Characters>
  <Lines>11</Lines>
  <Paragraphs>3</Paragraphs>
  <TotalTime>2</TotalTime>
  <ScaleCrop>false</ScaleCrop>
  <LinksUpToDate>false</LinksUpToDate>
  <CharactersWithSpaces>1671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2024-08-13T02:54:00Z</dcterms:created>
  <dc:creator>001</dc:creator>
  <cp:lastModifiedBy>Administrator</cp:lastModifiedBy>
  <dcterms:modified xsi:type="dcterms:W3CDTF">2024-09-25T01:56:25Z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B424A838E662426F8D1B28F655842ED5_11</vt:lpwstr>
  </property>
</Properties>
</file>