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66E2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6061E36E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bookmarkEnd w:id="0"/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3EEDC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3F6FF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项目支</w:t>
            </w:r>
          </w:p>
          <w:p w14:paraId="1A124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04167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基础建设类项目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C7E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307A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E0E4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会同县蒲稳侗族苗族乡人民政府</w:t>
            </w:r>
          </w:p>
        </w:tc>
        <w:tc>
          <w:tcPr>
            <w:tcW w:w="1134" w:type="dxa"/>
            <w:noWrap w:val="0"/>
            <w:vAlign w:val="center"/>
          </w:tcPr>
          <w:p w14:paraId="73AC5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2BB30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会同县蒲稳侗族苗族乡人民政府</w:t>
            </w:r>
          </w:p>
        </w:tc>
      </w:tr>
      <w:tr w14:paraId="502EF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5D4F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B11B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ADE3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年初</w:t>
            </w:r>
          </w:p>
          <w:p w14:paraId="55209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68279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全年</w:t>
            </w:r>
          </w:p>
          <w:p w14:paraId="2F5B7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788F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全年</w:t>
            </w:r>
          </w:p>
          <w:p w14:paraId="128B9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386B2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D9B9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0EC54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得分</w:t>
            </w:r>
          </w:p>
        </w:tc>
      </w:tr>
      <w:tr w14:paraId="2AE35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CD0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8E37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50950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32.8</w:t>
            </w:r>
          </w:p>
        </w:tc>
        <w:tc>
          <w:tcPr>
            <w:tcW w:w="1209" w:type="dxa"/>
            <w:noWrap w:val="0"/>
            <w:vAlign w:val="center"/>
          </w:tcPr>
          <w:p w14:paraId="1B6C7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401.1</w:t>
            </w:r>
          </w:p>
        </w:tc>
        <w:tc>
          <w:tcPr>
            <w:tcW w:w="1134" w:type="dxa"/>
            <w:noWrap w:val="0"/>
            <w:vAlign w:val="center"/>
          </w:tcPr>
          <w:p w14:paraId="07B08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401.1</w:t>
            </w:r>
          </w:p>
        </w:tc>
        <w:tc>
          <w:tcPr>
            <w:tcW w:w="828" w:type="dxa"/>
            <w:noWrap w:val="0"/>
            <w:vAlign w:val="center"/>
          </w:tcPr>
          <w:p w14:paraId="0404F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88F5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0B4D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67496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9915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C7E2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512C1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EBF2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401.1</w:t>
            </w:r>
          </w:p>
        </w:tc>
        <w:tc>
          <w:tcPr>
            <w:tcW w:w="1134" w:type="dxa"/>
            <w:noWrap w:val="0"/>
            <w:vAlign w:val="center"/>
          </w:tcPr>
          <w:p w14:paraId="602C7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401.1</w:t>
            </w:r>
          </w:p>
        </w:tc>
        <w:tc>
          <w:tcPr>
            <w:tcW w:w="828" w:type="dxa"/>
            <w:noWrap w:val="0"/>
            <w:vAlign w:val="center"/>
          </w:tcPr>
          <w:p w14:paraId="0FB11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noWrap w:val="0"/>
            <w:vAlign w:val="center"/>
          </w:tcPr>
          <w:p w14:paraId="3C784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209C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 w14:paraId="258A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D1FD6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E67F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48E5D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6B6F0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3A273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4212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4CE0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56DF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928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E66C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37FB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708E43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5657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CE8E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FEBC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B437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60E2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850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1276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0970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2A76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247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F85D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2B35F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推动乡村振兴，完善农村基础设施，提高农村人居环境水平，提升群众幸福感。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4AD3C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按目标完成</w:t>
            </w:r>
          </w:p>
        </w:tc>
      </w:tr>
      <w:tr w14:paraId="64FBE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A3E9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绩</w:t>
            </w:r>
          </w:p>
          <w:p w14:paraId="58AB3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</w:t>
            </w:r>
          </w:p>
          <w:p w14:paraId="779E4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指</w:t>
            </w:r>
          </w:p>
          <w:p w14:paraId="3B95F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4142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2353E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0EF2F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5128E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年度</w:t>
            </w:r>
          </w:p>
          <w:p w14:paraId="0363F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6AAE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实际</w:t>
            </w:r>
          </w:p>
          <w:p w14:paraId="47FA2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24C1E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A949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35710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071B8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分析及</w:t>
            </w:r>
          </w:p>
          <w:p w14:paraId="1E3C3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05AE4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AD4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3BF9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39121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5B789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4F9D2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实际完成率</w:t>
            </w:r>
          </w:p>
        </w:tc>
        <w:tc>
          <w:tcPr>
            <w:tcW w:w="1209" w:type="dxa"/>
            <w:noWrap w:val="0"/>
            <w:vAlign w:val="center"/>
          </w:tcPr>
          <w:p w14:paraId="45B47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014E6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5E8A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2C36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E354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37C9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B58E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7107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B0D8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7AEA4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质量达标率</w:t>
            </w:r>
          </w:p>
        </w:tc>
        <w:tc>
          <w:tcPr>
            <w:tcW w:w="1209" w:type="dxa"/>
            <w:noWrap w:val="0"/>
            <w:vAlign w:val="center"/>
          </w:tcPr>
          <w:p w14:paraId="2F93B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66C6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828" w:type="dxa"/>
            <w:noWrap w:val="0"/>
            <w:vAlign w:val="center"/>
          </w:tcPr>
          <w:p w14:paraId="151F7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0FFCE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 w14:paraId="05BF1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2C36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969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0CEB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8DFB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3386E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51955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60A59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ACB0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E0D1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C1B0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8115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DE84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11C6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D4A5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13964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成本节约率</w:t>
            </w:r>
          </w:p>
        </w:tc>
        <w:tc>
          <w:tcPr>
            <w:tcW w:w="1209" w:type="dxa"/>
            <w:noWrap w:val="0"/>
            <w:vAlign w:val="center"/>
          </w:tcPr>
          <w:p w14:paraId="23186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CD84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24EB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E473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AA0B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332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EA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1CA8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0F601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56F53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经济效</w:t>
            </w:r>
          </w:p>
          <w:p w14:paraId="4383B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DDB2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执行标的额到位率</w:t>
            </w:r>
          </w:p>
        </w:tc>
        <w:tc>
          <w:tcPr>
            <w:tcW w:w="1209" w:type="dxa"/>
            <w:noWrap w:val="0"/>
            <w:vAlign w:val="center"/>
          </w:tcPr>
          <w:p w14:paraId="466C8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D6DE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0F6AD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5EC6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7DBBF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A204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5F12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3387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B402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社会效</w:t>
            </w:r>
          </w:p>
          <w:p w14:paraId="1763F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B46B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完善基础设施设</w:t>
            </w:r>
          </w:p>
        </w:tc>
        <w:tc>
          <w:tcPr>
            <w:tcW w:w="1209" w:type="dxa"/>
            <w:noWrap w:val="0"/>
            <w:vAlign w:val="center"/>
          </w:tcPr>
          <w:p w14:paraId="7B893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55E9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noWrap w:val="0"/>
            <w:vAlign w:val="center"/>
          </w:tcPr>
          <w:p w14:paraId="7BE49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7FA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10077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57B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DFFA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ACD8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2AF2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生态效</w:t>
            </w:r>
          </w:p>
          <w:p w14:paraId="2F673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0047C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人居环境改善</w:t>
            </w:r>
          </w:p>
        </w:tc>
        <w:tc>
          <w:tcPr>
            <w:tcW w:w="1209" w:type="dxa"/>
            <w:noWrap w:val="0"/>
            <w:vAlign w:val="center"/>
          </w:tcPr>
          <w:p w14:paraId="2149E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622D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828" w:type="dxa"/>
            <w:noWrap w:val="0"/>
            <w:vAlign w:val="center"/>
          </w:tcPr>
          <w:p w14:paraId="02FE3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75771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noWrap w:val="0"/>
            <w:vAlign w:val="center"/>
          </w:tcPr>
          <w:p w14:paraId="065D0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50E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E0A2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0FC6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BFD2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19D7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促进提高群众认可度</w:t>
            </w:r>
          </w:p>
        </w:tc>
        <w:tc>
          <w:tcPr>
            <w:tcW w:w="1209" w:type="dxa"/>
            <w:noWrap w:val="0"/>
            <w:vAlign w:val="center"/>
          </w:tcPr>
          <w:p w14:paraId="12F1D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2FBFE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828" w:type="dxa"/>
            <w:noWrap w:val="0"/>
            <w:vAlign w:val="center"/>
          </w:tcPr>
          <w:p w14:paraId="76D08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6CCE6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noWrap w:val="0"/>
            <w:vAlign w:val="center"/>
          </w:tcPr>
          <w:p w14:paraId="2058D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CC24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7C2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B867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满意度</w:t>
            </w:r>
          </w:p>
          <w:p w14:paraId="01B72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</w:p>
          <w:p w14:paraId="3F78D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6353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3B83E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群众满意率</w:t>
            </w:r>
          </w:p>
        </w:tc>
        <w:tc>
          <w:tcPr>
            <w:tcW w:w="1209" w:type="dxa"/>
            <w:noWrap w:val="0"/>
            <w:vAlign w:val="center"/>
          </w:tcPr>
          <w:p w14:paraId="25BD4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05B05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97%</w:t>
            </w:r>
          </w:p>
        </w:tc>
        <w:tc>
          <w:tcPr>
            <w:tcW w:w="828" w:type="dxa"/>
            <w:noWrap w:val="0"/>
            <w:vAlign w:val="center"/>
          </w:tcPr>
          <w:p w14:paraId="706C3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FEB6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66201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F1E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7D8C1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74401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1173F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92</w:t>
            </w:r>
          </w:p>
        </w:tc>
        <w:tc>
          <w:tcPr>
            <w:tcW w:w="1418" w:type="dxa"/>
            <w:noWrap w:val="0"/>
            <w:vAlign w:val="center"/>
          </w:tcPr>
          <w:p w14:paraId="05C52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4E77BFC7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郑媛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2024.8.28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15115241527 </w:t>
      </w:r>
    </w:p>
    <w:p w14:paraId="5C906E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M2IyOTljNjg0MTE4OTliZDQyMTlkMTMyMTE3YzkifQ=="/>
  </w:docVars>
  <w:rsids>
    <w:rsidRoot w:val="24D84175"/>
    <w:rsid w:val="24D8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2024-08-30T04:28:00Z</dcterms:created>
  <dc:creator>杨姣</dc:creator>
  <cp:lastModifiedBy>杨姣</cp:lastModifiedBy>
  <dcterms:modified xsi:type="dcterms:W3CDTF">2024-08-30T04:28:40Z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A9BF628C5C644222938556D3E615B61B_11</vt:lpwstr>
  </property>
</Properties>
</file>