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2B6041">
      <w:pPr>
        <w:spacing w:line="64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ascii="宋体" w:hAnsi="宋体"/>
          <w:b/>
          <w:w w:val="90"/>
          <w:sz w:val="36"/>
          <w:szCs w:val="36"/>
        </w:rPr>
        <w:t>202</w:t>
      </w:r>
      <w:r>
        <w:rPr>
          <w:rFonts w:hint="eastAsia" w:ascii="宋体" w:hAnsi="宋体"/>
          <w:b/>
          <w:w w:val="90"/>
          <w:sz w:val="36"/>
          <w:szCs w:val="36"/>
          <w:lang w:val="en-US" w:eastAsia="zh-CN"/>
        </w:rPr>
        <w:t>4</w:t>
      </w:r>
      <w:r>
        <w:rPr>
          <w:rFonts w:hint="eastAsia" w:ascii="宋体" w:hAnsi="宋体"/>
          <w:b/>
          <w:w w:val="90"/>
          <w:sz w:val="36"/>
          <w:szCs w:val="36"/>
        </w:rPr>
        <w:t>年</w:t>
      </w:r>
      <w:r>
        <w:rPr>
          <w:rFonts w:hint="eastAsia" w:ascii="宋体" w:hAnsi="宋体"/>
          <w:b/>
          <w:w w:val="90"/>
          <w:sz w:val="36"/>
          <w:szCs w:val="36"/>
          <w:lang w:eastAsia="zh-CN"/>
        </w:rPr>
        <w:t>会同</w:t>
      </w:r>
      <w:r>
        <w:rPr>
          <w:rFonts w:hint="eastAsia" w:ascii="宋体" w:hAnsi="宋体"/>
          <w:b/>
          <w:w w:val="90"/>
          <w:sz w:val="36"/>
          <w:szCs w:val="36"/>
        </w:rPr>
        <w:t>县</w:t>
      </w:r>
      <w:r>
        <w:rPr>
          <w:rFonts w:hint="eastAsia" w:ascii="宋体" w:hAnsi="宋体"/>
          <w:b/>
          <w:w w:val="90"/>
          <w:sz w:val="36"/>
          <w:szCs w:val="36"/>
          <w:lang w:eastAsia="zh-CN"/>
        </w:rPr>
        <w:t>青朗乡人民政府</w:t>
      </w:r>
      <w:r>
        <w:rPr>
          <w:rFonts w:hint="eastAsia" w:ascii="宋体" w:hAnsi="宋体"/>
          <w:b/>
          <w:w w:val="90"/>
          <w:sz w:val="36"/>
          <w:szCs w:val="36"/>
        </w:rPr>
        <w:t>1-</w:t>
      </w:r>
      <w:r>
        <w:rPr>
          <w:rFonts w:hint="eastAsia" w:ascii="宋体" w:hAnsi="宋体"/>
          <w:b/>
          <w:w w:val="90"/>
          <w:sz w:val="36"/>
          <w:szCs w:val="36"/>
          <w:lang w:val="en-US" w:eastAsia="zh-CN"/>
        </w:rPr>
        <w:t>6</w:t>
      </w:r>
      <w:r>
        <w:rPr>
          <w:rFonts w:hint="eastAsia" w:ascii="宋体" w:hAnsi="宋体"/>
          <w:b/>
          <w:w w:val="90"/>
          <w:sz w:val="36"/>
          <w:szCs w:val="36"/>
        </w:rPr>
        <w:t>月</w:t>
      </w:r>
      <w:r>
        <w:rPr>
          <w:rFonts w:hint="eastAsia" w:ascii="宋体" w:hAnsi="宋体"/>
          <w:b/>
          <w:w w:val="90"/>
          <w:sz w:val="36"/>
          <w:szCs w:val="36"/>
          <w:lang w:eastAsia="zh-CN"/>
        </w:rPr>
        <w:t>预算</w:t>
      </w:r>
      <w:r>
        <w:rPr>
          <w:rFonts w:ascii="宋体" w:hAnsi="宋体"/>
          <w:b/>
          <w:w w:val="90"/>
          <w:sz w:val="36"/>
          <w:szCs w:val="36"/>
        </w:rPr>
        <w:t>项目</w:t>
      </w:r>
      <w:r>
        <w:rPr>
          <w:rFonts w:hint="eastAsia" w:ascii="宋体" w:hAnsi="宋体"/>
          <w:b/>
          <w:w w:val="90"/>
          <w:sz w:val="36"/>
          <w:szCs w:val="36"/>
          <w:lang w:eastAsia="zh-CN"/>
        </w:rPr>
        <w:t>支出绩效运行</w:t>
      </w:r>
      <w:r>
        <w:rPr>
          <w:rFonts w:ascii="宋体" w:hAnsi="宋体"/>
          <w:b/>
          <w:w w:val="90"/>
          <w:sz w:val="36"/>
          <w:szCs w:val="36"/>
        </w:rPr>
        <w:t>监控报告</w:t>
      </w:r>
    </w:p>
    <w:p w14:paraId="6BDF4FCF">
      <w:p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一、项目支出基本情况</w:t>
      </w:r>
    </w:p>
    <w:p w14:paraId="49D806A0">
      <w:pPr>
        <w:spacing w:line="64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202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年本单位预算项目名称为财政建设经费项目，支出预算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万元，主要是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青朗乡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人民政府为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保障人居环境整治、乡村振兴、产业发展等相关工作的正常开展，服务乡经济社会的发展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发生的支出。</w:t>
      </w:r>
    </w:p>
    <w:p w14:paraId="73E493A5">
      <w:p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二、绩效运行监控工作开展情况</w:t>
      </w:r>
    </w:p>
    <w:p w14:paraId="6D05933D">
      <w:pPr>
        <w:spacing w:line="64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本单位每月严格按照财政批复金额执行各项费用支出，合理安排各项资金，未超预算安排支出。</w:t>
      </w:r>
    </w:p>
    <w:p w14:paraId="6473B5DF">
      <w:pPr>
        <w:spacing w:line="640" w:lineRule="exact"/>
        <w:ind w:left="0" w:leftChars="0"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三、绩效运行监控情况</w:t>
      </w:r>
    </w:p>
    <w:p w14:paraId="4A5C2C82">
      <w:pPr>
        <w:tabs>
          <w:tab w:val="left" w:pos="1560"/>
        </w:tabs>
        <w:spacing w:line="640" w:lineRule="exact"/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（一）项目支出预算执行情况</w:t>
      </w:r>
    </w:p>
    <w:p w14:paraId="7ED6AED1">
      <w:pPr>
        <w:pStyle w:val="4"/>
        <w:spacing w:before="0" w:beforeAutospacing="0" w:after="0" w:afterAutospacing="0" w:line="560" w:lineRule="exact"/>
        <w:ind w:firstLine="480"/>
        <w:rPr>
          <w:rFonts w:hint="eastAsia" w:ascii="仿宋_GB2312" w:hAnsi="Calibri" w:eastAsia="仿宋_GB2312" w:cs="宋体"/>
          <w:color w:val="343233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宋体"/>
          <w:color w:val="343233"/>
          <w:kern w:val="0"/>
          <w:sz w:val="32"/>
          <w:szCs w:val="32"/>
          <w:lang w:val="en-US" w:eastAsia="zh-CN" w:bidi="ar-SA"/>
        </w:rPr>
        <w:t>由于年初预算安排及有目的进行了预算调整，有效的保障了业务工作顺利开展，反映良好，主要表现在：</w:t>
      </w:r>
    </w:p>
    <w:p w14:paraId="2758F231">
      <w:pPr>
        <w:pStyle w:val="7"/>
        <w:spacing w:after="0"/>
        <w:ind w:left="0" w:leftChars="0" w:firstLine="640"/>
        <w:rPr>
          <w:rFonts w:eastAsia="楷体_GB2312"/>
          <w:b/>
          <w:bCs/>
          <w:sz w:val="32"/>
          <w:szCs w:val="32"/>
        </w:rPr>
      </w:pPr>
      <w:r>
        <w:rPr>
          <w:rFonts w:hint="eastAsia" w:ascii="仿宋_GB2312" w:cs="宋体"/>
          <w:color w:val="343233"/>
          <w:kern w:val="0"/>
          <w:sz w:val="32"/>
          <w:szCs w:val="32"/>
          <w:lang w:val="en-US" w:eastAsia="zh-CN"/>
        </w:rPr>
        <w:t>2024</w:t>
      </w:r>
      <w:bookmarkStart w:id="0" w:name="_GoBack"/>
      <w:bookmarkEnd w:id="0"/>
      <w:r>
        <w:rPr>
          <w:rFonts w:hint="eastAsia" w:ascii="仿宋_GB2312" w:cs="宋体"/>
          <w:color w:val="343233"/>
          <w:kern w:val="0"/>
          <w:sz w:val="32"/>
          <w:szCs w:val="32"/>
          <w:lang w:val="en-US" w:eastAsia="zh-CN"/>
        </w:rPr>
        <w:t>年本单位项目支出预算3万元，1-6月实际支出0万元，预算执行率为0%。</w:t>
      </w:r>
    </w:p>
    <w:p w14:paraId="4C46A284">
      <w:pPr>
        <w:tabs>
          <w:tab w:val="left" w:pos="1560"/>
        </w:tabs>
        <w:spacing w:line="640" w:lineRule="exact"/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（二）项目支出绩效目标完成情况</w:t>
      </w:r>
    </w:p>
    <w:p w14:paraId="027B5688">
      <w:pPr>
        <w:spacing w:line="64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1、数量指标：3万元用于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保障人居环境整治、乡村振兴、产业发展等相关工作的正常开展，服务乡经济社会的发展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 w14:paraId="1F565418">
      <w:pPr>
        <w:spacing w:line="64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2、进度指标：此项资金预计在2024年10月前使用完成。</w:t>
      </w:r>
    </w:p>
    <w:p w14:paraId="47F8C03A">
      <w:pPr>
        <w:spacing w:line="64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3、质量指标：保障青朗乡人民政府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人居环境整治、乡村振兴、产业发展等相关工作的正常开展，服务乡经济社会的发展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工作圆满完成。</w:t>
      </w:r>
    </w:p>
    <w:p w14:paraId="347DE652">
      <w:pPr>
        <w:spacing w:line="64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4.经济效益指标：促进青朗乡人民政府工作开展，提高政府各项工作的效率。</w:t>
      </w:r>
    </w:p>
    <w:p w14:paraId="5A45964D">
      <w:p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5.社会效益指标（群众满意度）：服务对象满意率达95%以上。</w:t>
      </w:r>
    </w:p>
    <w:p w14:paraId="5A3749D4">
      <w:p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四、存在问题及其原因</w:t>
      </w:r>
    </w:p>
    <w:p w14:paraId="527FD07C">
      <w:pPr>
        <w:spacing w:line="64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对于绩效运行监控的认识不够深入，把项目支出绩效简单等同于工作目标、工作考核和业务管理;绩效目标和指标往往根据项目实际完成情况制定，对项目执行过程有效约束不够，存在一定的偏差。   </w:t>
      </w:r>
      <w:r>
        <w:rPr>
          <w:rFonts w:eastAsia="仿宋_GB2312"/>
          <w:sz w:val="32"/>
          <w:szCs w:val="32"/>
        </w:rPr>
        <w:t xml:space="preserve">   </w:t>
      </w:r>
    </w:p>
    <w:p w14:paraId="5D91419A">
      <w:p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五、有关建议及工作措施</w:t>
      </w:r>
    </w:p>
    <w:p w14:paraId="54BA895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严格执行预算和财政相关制度，合理编制支出预算。同时，在预算执行过程中定期将执行情况预算进行对比分析，及时发现偏差、查找原因，采取必要措施，保证预算整体目标的顺利完成。</w:t>
      </w:r>
    </w:p>
    <w:p w14:paraId="186DFD20">
      <w:pPr>
        <w:pStyle w:val="3"/>
        <w:rPr>
          <w:rFonts w:hint="eastAsia"/>
        </w:rPr>
      </w:pPr>
    </w:p>
    <w:p w14:paraId="706423F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 xml:space="preserve">                         青朗侗族苗族乡人民政府</w:t>
      </w:r>
    </w:p>
    <w:p w14:paraId="1D01566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2024年8月29日</w:t>
      </w:r>
    </w:p>
    <w:p w14:paraId="1C093A16">
      <w:pPr>
        <w:pStyle w:val="2"/>
        <w:jc w:val="righ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iMGY0ZmZlOWUwYTIwMmQwNzIzYWU1MjgwNDQ3NmEifQ=="/>
  </w:docVars>
  <w:rsids>
    <w:rsidRoot w:val="312326B8"/>
    <w:rsid w:val="002105D2"/>
    <w:rsid w:val="089C14BA"/>
    <w:rsid w:val="312326B8"/>
    <w:rsid w:val="4E9E788D"/>
    <w:rsid w:val="6CB8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line="240" w:lineRule="auto"/>
      <w:ind w:left="0"/>
    </w:pPr>
    <w:rPr>
      <w:rFonts w:ascii="仿宋" w:hAnsi="仿宋"/>
      <w:sz w:val="28"/>
      <w:szCs w:val="24"/>
    </w:rPr>
  </w:style>
  <w:style w:type="paragraph" w:customStyle="1" w:styleId="3">
    <w:name w:val="正文首行缩进1"/>
    <w:basedOn w:val="1"/>
    <w:qFormat/>
    <w:uiPriority w:val="0"/>
    <w:pPr>
      <w:spacing w:after="120"/>
      <w:ind w:firstLine="420" w:firstLineChars="100"/>
    </w:pPr>
    <w:rPr>
      <w:rFonts w:hint="eastAsia"/>
      <w:szCs w:val="20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BodyText1I2"/>
    <w:basedOn w:val="1"/>
    <w:next w:val="1"/>
    <w:unhideWhenUsed/>
    <w:qFormat/>
    <w:uiPriority w:val="0"/>
    <w:pPr>
      <w:spacing w:after="120" w:line="240" w:lineRule="auto"/>
      <w:ind w:left="420" w:leftChars="200" w:firstLine="200" w:firstLineChars="200"/>
      <w:textAlignment w:val="baseline"/>
    </w:pPr>
    <w:rPr>
      <w:rFonts w:ascii="Calibri" w:hAnsi="Calibri" w:eastAsia="仿宋_GB2312"/>
      <w:kern w:val="2"/>
      <w:sz w:val="36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613</Words>
  <Characters>641</Characters>
  <Lines>0</Lines>
  <Paragraphs>0</Paragraphs>
  <TotalTime>5</TotalTime>
  <ScaleCrop>false</ScaleCrop>
  <LinksUpToDate>false</LinksUpToDate>
  <CharactersWithSpaces>682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2023-10-25T03:21:00Z</dcterms:created>
  <dc:creator>Administrator</dc:creator>
  <cp:lastModifiedBy>Administrator</cp:lastModifiedBy>
  <cp:lastPrinted>2023-10-27T02:32:00Z</cp:lastPrinted>
  <dcterms:modified xsi:type="dcterms:W3CDTF">2024-08-29T09:43:01Z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FCFA499996A64833BAA06F22CC7EB1BC_11</vt:lpwstr>
  </property>
</Properties>
</file>