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523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会同县推</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进基本养老服务</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体系</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建设</w:t>
      </w:r>
    </w:p>
    <w:p w14:paraId="2BAA1F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实施方案</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02</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02</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6</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）征求意见</w:t>
      </w:r>
      <w:bookmarkStart w:id="0" w:name="_GoBack"/>
      <w:bookmarkEnd w:id="0"/>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稿</w:t>
      </w:r>
    </w:p>
    <w:p w14:paraId="2FB012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p>
    <w:p w14:paraId="02F8CB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为实施积极应对人口老龄化国家战略，深入贯彻落实</w:t>
      </w:r>
      <w:r>
        <w:rPr>
          <w:rFonts w:hint="eastAsia" w:ascii="仿宋" w:hAnsi="仿宋" w:eastAsia="仿宋" w:cs="仿宋"/>
          <w:color w:val="000000" w:themeColor="text1"/>
          <w:sz w:val="32"/>
          <w:szCs w:val="32"/>
          <w14:textFill>
            <w14:solidFill>
              <w14:schemeClr w14:val="tx1"/>
            </w14:solidFill>
          </w14:textFill>
        </w:rPr>
        <w:t>党中央</w:t>
      </w:r>
      <w:r>
        <w:rPr>
          <w:rFonts w:hint="eastAsia" w:ascii="仿宋" w:hAnsi="仿宋" w:eastAsia="仿宋" w:cs="仿宋"/>
          <w:color w:val="000000" w:themeColor="text1"/>
          <w:sz w:val="32"/>
          <w:szCs w:val="32"/>
          <w:lang w:eastAsia="zh-CN"/>
          <w14:textFill>
            <w14:solidFill>
              <w14:schemeClr w14:val="tx1"/>
            </w14:solidFill>
          </w14:textFill>
        </w:rPr>
        <w:t>、国务院关于养老服务工作的重要指示批示要求，根据《湖南省人民政府办公厅关于印发〈湖南省推进基本养老服务</w:t>
      </w:r>
      <w:r>
        <w:rPr>
          <w:rFonts w:hint="eastAsia" w:ascii="仿宋" w:hAnsi="仿宋" w:eastAsia="仿宋" w:cs="仿宋"/>
          <w:color w:val="000000" w:themeColor="text1"/>
          <w:sz w:val="32"/>
          <w:szCs w:val="32"/>
          <w:lang w:val="en-US" w:eastAsia="zh-CN"/>
          <w14:textFill>
            <w14:solidFill>
              <w14:schemeClr w14:val="tx1"/>
            </w14:solidFill>
          </w14:textFill>
        </w:rPr>
        <w:t>体系建设实施方案（2022—2025年）〉的通知</w:t>
      </w:r>
      <w:r>
        <w:rPr>
          <w:rFonts w:hint="eastAsia" w:ascii="仿宋" w:hAnsi="仿宋" w:eastAsia="仿宋" w:cs="仿宋"/>
          <w:color w:val="000000" w:themeColor="text1"/>
          <w:sz w:val="32"/>
          <w:szCs w:val="32"/>
          <w:lang w:eastAsia="zh-CN"/>
          <w14:textFill>
            <w14:solidFill>
              <w14:schemeClr w14:val="tx1"/>
            </w14:solidFill>
          </w14:textFill>
        </w:rPr>
        <w:t>》（湘政办发〔</w:t>
      </w:r>
      <w:r>
        <w:rPr>
          <w:rFonts w:hint="eastAsia" w:ascii="仿宋" w:hAnsi="仿宋" w:eastAsia="仿宋" w:cs="仿宋"/>
          <w:color w:val="000000" w:themeColor="text1"/>
          <w:sz w:val="32"/>
          <w:szCs w:val="32"/>
          <w:lang w:val="en-US" w:eastAsia="zh-CN"/>
          <w14:textFill>
            <w14:solidFill>
              <w14:schemeClr w14:val="tx1"/>
            </w14:solidFill>
          </w14:textFill>
        </w:rPr>
        <w:t>2022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68号</w:t>
      </w:r>
      <w:r>
        <w:rPr>
          <w:rFonts w:hint="eastAsia" w:ascii="仿宋" w:hAnsi="仿宋" w:eastAsia="仿宋" w:cs="仿宋"/>
          <w:color w:val="000000" w:themeColor="text1"/>
          <w:sz w:val="32"/>
          <w:szCs w:val="32"/>
          <w:lang w:eastAsia="zh-CN"/>
          <w14:textFill>
            <w14:solidFill>
              <w14:schemeClr w14:val="tx1"/>
            </w14:solidFill>
          </w14:textFill>
        </w:rPr>
        <w:t>）、《怀化市人民政府办公室关于印发〈</w:t>
      </w:r>
      <w:r>
        <w:rPr>
          <w:rFonts w:hint="eastAsia" w:ascii="仿宋" w:hAnsi="仿宋" w:eastAsia="仿宋" w:cs="仿宋"/>
          <w:b w:val="0"/>
          <w:bCs w:val="0"/>
          <w:color w:val="000000" w:themeColor="text1"/>
          <w:sz w:val="32"/>
          <w:szCs w:val="32"/>
          <w:lang w:eastAsia="zh-CN"/>
          <w14:textFill>
            <w14:solidFill>
              <w14:schemeClr w14:val="tx1"/>
            </w14:solidFill>
          </w14:textFill>
        </w:rPr>
        <w:t>怀化市加快推进基本养老服务</w:t>
      </w:r>
      <w:r>
        <w:rPr>
          <w:rFonts w:hint="eastAsia" w:ascii="仿宋" w:hAnsi="仿宋" w:eastAsia="仿宋" w:cs="仿宋"/>
          <w:b w:val="0"/>
          <w:bCs w:val="0"/>
          <w:color w:val="000000" w:themeColor="text1"/>
          <w:sz w:val="32"/>
          <w:szCs w:val="32"/>
          <w:lang w:val="en-US" w:eastAsia="zh-CN"/>
          <w14:textFill>
            <w14:solidFill>
              <w14:schemeClr w14:val="tx1"/>
            </w14:solidFill>
          </w14:textFill>
        </w:rPr>
        <w:t>体系建设实施方案（2023—2025年）〉的通知</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（怀政办发〔</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14号</w:t>
      </w:r>
      <w:r>
        <w:rPr>
          <w:rFonts w:hint="eastAsia" w:ascii="仿宋" w:hAnsi="仿宋" w:eastAsia="仿宋" w:cs="仿宋"/>
          <w:color w:val="000000" w:themeColor="text1"/>
          <w:sz w:val="32"/>
          <w:szCs w:val="32"/>
          <w:lang w:eastAsia="zh-CN"/>
          <w14:textFill>
            <w14:solidFill>
              <w14:schemeClr w14:val="tx1"/>
            </w14:solidFill>
          </w14:textFill>
        </w:rPr>
        <w:t>）、《怀化市人民政府办公室关于推进养老服务高质量发展的实施意见》（怀政办发〔</w:t>
      </w:r>
      <w:r>
        <w:rPr>
          <w:rFonts w:hint="eastAsia" w:ascii="仿宋" w:hAnsi="仿宋" w:eastAsia="仿宋" w:cs="仿宋"/>
          <w:color w:val="000000" w:themeColor="text1"/>
          <w:sz w:val="32"/>
          <w:szCs w:val="32"/>
          <w:lang w:val="en-US" w:eastAsia="zh-CN"/>
          <w14:textFill>
            <w14:solidFill>
              <w14:schemeClr w14:val="tx1"/>
            </w14:solidFill>
          </w14:textFill>
        </w:rPr>
        <w:t>2021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17号</w:t>
      </w:r>
      <w:r>
        <w:rPr>
          <w:rFonts w:hint="eastAsia" w:ascii="仿宋" w:hAnsi="仿宋" w:eastAsia="仿宋" w:cs="仿宋"/>
          <w:color w:val="000000" w:themeColor="text1"/>
          <w:sz w:val="32"/>
          <w:szCs w:val="32"/>
          <w:lang w:eastAsia="zh-CN"/>
          <w14:textFill>
            <w14:solidFill>
              <w14:schemeClr w14:val="tx1"/>
            </w14:solidFill>
          </w14:textFill>
        </w:rPr>
        <w:t>）等相关文件规定，</w:t>
      </w:r>
      <w:r>
        <w:rPr>
          <w:rFonts w:hint="eastAsia" w:ascii="仿宋" w:hAnsi="仿宋" w:eastAsia="仿宋" w:cs="仿宋"/>
          <w:color w:val="000000" w:themeColor="text1"/>
          <w:sz w:val="32"/>
          <w:szCs w:val="32"/>
          <w14:textFill>
            <w14:solidFill>
              <w14:schemeClr w14:val="tx1"/>
            </w14:solidFill>
          </w14:textFill>
        </w:rPr>
        <w:t>结合我</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实际，特</w:t>
      </w:r>
      <w:r>
        <w:rPr>
          <w:rFonts w:hint="eastAsia" w:ascii="仿宋" w:hAnsi="仿宋" w:eastAsia="仿宋" w:cs="仿宋"/>
          <w:color w:val="000000" w:themeColor="text1"/>
          <w:sz w:val="32"/>
          <w:szCs w:val="32"/>
          <w:lang w:eastAsia="zh-CN"/>
          <w14:textFill>
            <w14:solidFill>
              <w14:schemeClr w14:val="tx1"/>
            </w14:solidFill>
          </w14:textFill>
        </w:rPr>
        <w:t>制定如</w:t>
      </w:r>
      <w:r>
        <w:rPr>
          <w:rFonts w:hint="eastAsia" w:ascii="仿宋" w:hAnsi="仿宋" w:eastAsia="仿宋" w:cs="仿宋"/>
          <w:color w:val="000000" w:themeColor="text1"/>
          <w:sz w:val="32"/>
          <w:szCs w:val="32"/>
          <w14:textFill>
            <w14:solidFill>
              <w14:schemeClr w14:val="tx1"/>
            </w14:solidFill>
          </w14:textFill>
        </w:rPr>
        <w:t>下</w:t>
      </w:r>
      <w:r>
        <w:rPr>
          <w:rFonts w:hint="eastAsia" w:ascii="仿宋" w:hAnsi="仿宋" w:eastAsia="仿宋" w:cs="仿宋"/>
          <w:color w:val="000000" w:themeColor="text1"/>
          <w:sz w:val="32"/>
          <w:szCs w:val="32"/>
          <w:lang w:eastAsia="zh-CN"/>
          <w14:textFill>
            <w14:solidFill>
              <w14:schemeClr w14:val="tx1"/>
            </w14:solidFill>
          </w14:textFill>
        </w:rPr>
        <w:t>实施</w:t>
      </w:r>
      <w:r>
        <w:rPr>
          <w:rFonts w:hint="eastAsia" w:ascii="仿宋" w:hAnsi="仿宋" w:eastAsia="仿宋" w:cs="仿宋"/>
          <w:color w:val="000000" w:themeColor="text1"/>
          <w:sz w:val="32"/>
          <w:szCs w:val="32"/>
          <w14:textFill>
            <w14:solidFill>
              <w14:schemeClr w14:val="tx1"/>
            </w14:solidFill>
          </w14:textFill>
        </w:rPr>
        <w:t>方案：</w:t>
      </w:r>
    </w:p>
    <w:p w14:paraId="7B5D2E5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一</w:t>
      </w:r>
      <w:r>
        <w:rPr>
          <w:rFonts w:hint="eastAsia" w:ascii="黑体" w:hAnsi="黑体" w:eastAsia="黑体" w:cs="黑体"/>
          <w:b/>
          <w:bCs/>
          <w:color w:val="000000" w:themeColor="text1"/>
          <w:sz w:val="32"/>
          <w:szCs w:val="32"/>
          <w:lang w:eastAsia="zh-CN"/>
          <w14:textFill>
            <w14:solidFill>
              <w14:schemeClr w14:val="tx1"/>
            </w14:solidFill>
          </w14:textFill>
        </w:rPr>
        <w:t>、</w:t>
      </w:r>
      <w:r>
        <w:rPr>
          <w:rFonts w:hint="eastAsia" w:ascii="黑体" w:hAnsi="黑体" w:eastAsia="黑体" w:cs="黑体"/>
          <w:b/>
          <w:bCs/>
          <w:color w:val="000000" w:themeColor="text1"/>
          <w:sz w:val="32"/>
          <w:szCs w:val="32"/>
          <w14:textFill>
            <w14:solidFill>
              <w14:schemeClr w14:val="tx1"/>
            </w14:solidFill>
          </w14:textFill>
        </w:rPr>
        <w:t>总体</w:t>
      </w:r>
      <w:r>
        <w:rPr>
          <w:rFonts w:hint="eastAsia" w:ascii="黑体" w:hAnsi="黑体" w:eastAsia="黑体" w:cs="黑体"/>
          <w:b/>
          <w:bCs/>
          <w:color w:val="000000" w:themeColor="text1"/>
          <w:sz w:val="32"/>
          <w:szCs w:val="32"/>
          <w:lang w:eastAsia="zh-CN"/>
          <w14:textFill>
            <w14:solidFill>
              <w14:schemeClr w14:val="tx1"/>
            </w14:solidFill>
          </w14:textFill>
        </w:rPr>
        <w:t>目</w:t>
      </w:r>
      <w:r>
        <w:rPr>
          <w:rFonts w:hint="eastAsia" w:ascii="黑体" w:hAnsi="黑体" w:eastAsia="黑体" w:cs="黑体"/>
          <w:b/>
          <w:bCs/>
          <w:color w:val="000000" w:themeColor="text1"/>
          <w:sz w:val="32"/>
          <w:szCs w:val="32"/>
          <w14:textFill>
            <w14:solidFill>
              <w14:schemeClr w14:val="tx1"/>
            </w14:solidFill>
          </w14:textFill>
        </w:rPr>
        <w:t>标</w:t>
      </w:r>
    </w:p>
    <w:p w14:paraId="19B20C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坚持以习近平新时代中国特色社会主义思想为指导，深入贯彻落实党的二十大和二十届二中、三中全会精神，</w:t>
      </w:r>
      <w:r>
        <w:rPr>
          <w:rFonts w:hint="eastAsia" w:ascii="仿宋" w:hAnsi="仿宋" w:eastAsia="仿宋" w:cs="仿宋"/>
          <w:color w:val="000000" w:themeColor="text1"/>
          <w:sz w:val="32"/>
          <w:szCs w:val="32"/>
          <w14:textFill>
            <w14:solidFill>
              <w14:schemeClr w14:val="tx1"/>
            </w14:solidFill>
          </w14:textFill>
        </w:rPr>
        <w:t>坚</w:t>
      </w:r>
      <w:r>
        <w:rPr>
          <w:rFonts w:hint="eastAsia" w:ascii="仿宋" w:hAnsi="仿宋" w:eastAsia="仿宋" w:cs="仿宋"/>
          <w:color w:val="000000" w:themeColor="text1"/>
          <w:sz w:val="32"/>
          <w:szCs w:val="32"/>
          <w:lang w:val="en-US" w:eastAsia="zh-CN"/>
          <w14:textFill>
            <w14:solidFill>
              <w14:schemeClr w14:val="tx1"/>
            </w14:solidFill>
          </w14:textFill>
        </w:rPr>
        <w:t>持</w:t>
      </w:r>
      <w:r>
        <w:rPr>
          <w:rFonts w:hint="eastAsia" w:ascii="仿宋" w:hAnsi="仿宋" w:eastAsia="仿宋" w:cs="仿宋"/>
          <w:color w:val="000000" w:themeColor="text1"/>
          <w:sz w:val="32"/>
          <w:szCs w:val="32"/>
          <w14:textFill>
            <w14:solidFill>
              <w14:schemeClr w14:val="tx1"/>
            </w14:solidFill>
          </w14:textFill>
        </w:rPr>
        <w:t>以人民</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中心</w:t>
      </w:r>
      <w:r>
        <w:rPr>
          <w:rFonts w:hint="eastAsia" w:ascii="仿宋" w:hAnsi="仿宋" w:eastAsia="仿宋" w:cs="仿宋"/>
          <w:color w:val="000000" w:themeColor="text1"/>
          <w:sz w:val="32"/>
          <w:szCs w:val="32"/>
          <w:lang w:eastAsia="zh-CN"/>
          <w14:textFill>
            <w14:solidFill>
              <w14:schemeClr w14:val="tx1"/>
            </w14:solidFill>
          </w14:textFill>
        </w:rPr>
        <w:t>，坚持</w:t>
      </w:r>
      <w:r>
        <w:rPr>
          <w:rFonts w:hint="eastAsia" w:ascii="仿宋" w:hAnsi="仿宋" w:eastAsia="仿宋" w:cs="仿宋"/>
          <w:color w:val="000000" w:themeColor="text1"/>
          <w:sz w:val="32"/>
          <w:szCs w:val="32"/>
          <w14:textFill>
            <w14:solidFill>
              <w14:schemeClr w14:val="tx1"/>
            </w14:solidFill>
          </w14:textFill>
        </w:rPr>
        <w:t>均等</w:t>
      </w:r>
      <w:r>
        <w:rPr>
          <w:rFonts w:hint="eastAsia" w:ascii="仿宋" w:hAnsi="仿宋" w:eastAsia="仿宋" w:cs="仿宋"/>
          <w:color w:val="000000" w:themeColor="text1"/>
          <w:sz w:val="32"/>
          <w:szCs w:val="32"/>
          <w:lang w:eastAsia="zh-CN"/>
          <w14:textFill>
            <w14:solidFill>
              <w14:schemeClr w14:val="tx1"/>
            </w14:solidFill>
          </w14:textFill>
        </w:rPr>
        <w:t>普惠</w:t>
      </w:r>
      <w:r>
        <w:rPr>
          <w:rFonts w:hint="eastAsia" w:ascii="仿宋" w:hAnsi="仿宋" w:eastAsia="仿宋" w:cs="仿宋"/>
          <w:color w:val="000000" w:themeColor="text1"/>
          <w:sz w:val="32"/>
          <w:szCs w:val="32"/>
          <w14:textFill>
            <w14:solidFill>
              <w14:schemeClr w14:val="tx1"/>
            </w14:solidFill>
          </w14:textFill>
        </w:rPr>
        <w:t>、刚需为</w:t>
      </w:r>
      <w:r>
        <w:rPr>
          <w:rFonts w:hint="eastAsia" w:ascii="仿宋" w:hAnsi="仿宋" w:eastAsia="仿宋" w:cs="仿宋"/>
          <w:color w:val="000000" w:themeColor="text1"/>
          <w:sz w:val="32"/>
          <w:szCs w:val="32"/>
          <w:lang w:eastAsia="zh-CN"/>
          <w14:textFill>
            <w14:solidFill>
              <w14:schemeClr w14:val="tx1"/>
            </w14:solidFill>
          </w14:textFill>
        </w:rPr>
        <w:t>先</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量力而行</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系统协同基本原则</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树立需求导向、目标导向、问题导向、结果导向，按照“兜底线、保基本、促普惠、均等化”的要求，重点发展面向贫困、失能、残疾、留守、空巢、计划生育特殊家庭、高龄等老年群体的基本养老服务，妥善解决老年人及其家庭的“急难愁盼”问题。到</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025</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基本养老服务制度体系基本健全，基本养老服务清单不断完善，权责清晰、保障适度、供给多元、服务可及、监管到位、可持续的基本养老服务体系覆盖全体老人。</w:t>
      </w:r>
    </w:p>
    <w:p w14:paraId="0481233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000000" w:themeColor="text1"/>
          <w:sz w:val="32"/>
          <w:szCs w:val="32"/>
          <w:lang w:eastAsia="zh-CN"/>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二</w:t>
      </w:r>
      <w:r>
        <w:rPr>
          <w:rFonts w:hint="eastAsia" w:ascii="黑体" w:hAnsi="黑体" w:eastAsia="黑体" w:cs="黑体"/>
          <w:b/>
          <w:bCs/>
          <w:color w:val="000000" w:themeColor="text1"/>
          <w:sz w:val="32"/>
          <w:szCs w:val="32"/>
          <w:lang w:eastAsia="zh-CN"/>
          <w14:textFill>
            <w14:solidFill>
              <w14:schemeClr w14:val="tx1"/>
            </w14:solidFill>
          </w14:textFill>
        </w:rPr>
        <w:t>、</w:t>
      </w:r>
      <w:r>
        <w:rPr>
          <w:rFonts w:hint="eastAsia" w:ascii="黑体" w:hAnsi="黑体" w:eastAsia="黑体" w:cs="黑体"/>
          <w:b/>
          <w:bCs/>
          <w:color w:val="000000" w:themeColor="text1"/>
          <w:sz w:val="32"/>
          <w:szCs w:val="32"/>
          <w14:textFill>
            <w14:solidFill>
              <w14:schemeClr w14:val="tx1"/>
            </w14:solidFill>
          </w14:textFill>
        </w:rPr>
        <w:t>重点</w:t>
      </w:r>
      <w:r>
        <w:rPr>
          <w:rFonts w:hint="eastAsia" w:ascii="黑体" w:hAnsi="黑体" w:eastAsia="黑体" w:cs="黑体"/>
          <w:b/>
          <w:bCs/>
          <w:color w:val="000000" w:themeColor="text1"/>
          <w:sz w:val="32"/>
          <w:szCs w:val="32"/>
          <w:lang w:eastAsia="zh-CN"/>
          <w14:textFill>
            <w14:solidFill>
              <w14:schemeClr w14:val="tx1"/>
            </w14:solidFill>
          </w14:textFill>
        </w:rPr>
        <w:t>任务</w:t>
      </w:r>
    </w:p>
    <w:p w14:paraId="600A464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（一）制定落实基本养老服务清单</w:t>
      </w:r>
    </w:p>
    <w:p w14:paraId="1B9883A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1.制定发布</w:t>
      </w:r>
      <w:r>
        <w:rPr>
          <w:rFonts w:hint="eastAsia" w:ascii="仿宋" w:hAnsi="仿宋" w:eastAsia="仿宋" w:cs="仿宋"/>
          <w:b/>
          <w:bCs/>
          <w:color w:val="000000" w:themeColor="text1"/>
          <w:sz w:val="32"/>
          <w:szCs w:val="32"/>
          <w:lang w:eastAsia="zh-CN"/>
          <w14:textFill>
            <w14:solidFill>
              <w14:schemeClr w14:val="tx1"/>
            </w14:solidFill>
          </w14:textFill>
        </w:rPr>
        <w:t>服务</w:t>
      </w:r>
      <w:r>
        <w:rPr>
          <w:rFonts w:hint="eastAsia" w:ascii="仿宋" w:hAnsi="仿宋" w:eastAsia="仿宋" w:cs="仿宋"/>
          <w:b/>
          <w:bCs/>
          <w:color w:val="000000" w:themeColor="text1"/>
          <w:sz w:val="32"/>
          <w:szCs w:val="32"/>
          <w14:textFill>
            <w14:solidFill>
              <w14:schemeClr w14:val="tx1"/>
            </w14:solidFill>
          </w14:textFill>
        </w:rPr>
        <w:t>清单</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制定发布《会同县基本养老服务清单》（附件</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11类服务对象27项服务内容，</w:t>
      </w:r>
      <w:r>
        <w:rPr>
          <w:rFonts w:hint="eastAsia" w:ascii="仿宋" w:hAnsi="仿宋" w:eastAsia="仿宋" w:cs="仿宋"/>
          <w:color w:val="000000" w:themeColor="text1"/>
          <w:sz w:val="32"/>
          <w:szCs w:val="32"/>
          <w:lang w:eastAsia="zh-CN"/>
          <w14:textFill>
            <w14:solidFill>
              <w14:schemeClr w14:val="tx1"/>
            </w14:solidFill>
          </w14:textFill>
        </w:rPr>
        <w:t>明确了具体服务对象、内容、标准及支付责任等，各责任单位落实在县级清单服务项目时，覆盖范围和实现程度不得低于县级清单要求。</w:t>
      </w:r>
    </w:p>
    <w:p w14:paraId="2906EE1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2.建立动态调整机制。</w:t>
      </w:r>
      <w:r>
        <w:rPr>
          <w:rFonts w:hint="eastAsia" w:ascii="仿宋" w:hAnsi="仿宋" w:eastAsia="仿宋" w:cs="仿宋"/>
          <w:color w:val="000000" w:themeColor="text1"/>
          <w:sz w:val="32"/>
          <w:szCs w:val="32"/>
          <w:lang w:val="en-US" w:eastAsia="zh-CN"/>
          <w14:textFill>
            <w14:solidFill>
              <w14:schemeClr w14:val="tx1"/>
            </w14:solidFill>
          </w14:textFill>
        </w:rPr>
        <w:t>建立基本养老服务公共服务清单年度发布制度，根据国家、省级、市级基本养老服务清单调整情况，经济社会发展水平、科技进步、老年人养老服务需求、县财力状况等因素实时调整，由县民政局会同相关部门提出修订意见后按照程序报批后印发。</w:t>
      </w:r>
    </w:p>
    <w:p w14:paraId="4C2919E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（二）建立基本养老服务主动响应机制</w:t>
      </w:r>
    </w:p>
    <w:p w14:paraId="2033FC3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3.明确服务对象。</w:t>
      </w:r>
      <w:r>
        <w:rPr>
          <w:rFonts w:hint="eastAsia" w:ascii="仿宋" w:hAnsi="仿宋" w:eastAsia="仿宋" w:cs="仿宋"/>
          <w:color w:val="000000" w:themeColor="text1"/>
          <w:sz w:val="32"/>
          <w:szCs w:val="32"/>
          <w:lang w:val="en-US" w:eastAsia="zh-CN"/>
          <w14:textFill>
            <w14:solidFill>
              <w14:schemeClr w14:val="tx1"/>
            </w14:solidFill>
          </w14:textFill>
        </w:rPr>
        <w:t>基本养老服务面向全体老年人。方案实施期间</w:t>
      </w:r>
      <w:r>
        <w:rPr>
          <w:rFonts w:hint="eastAsia" w:ascii="仿宋" w:hAnsi="仿宋" w:eastAsia="仿宋" w:cs="仿宋"/>
          <w:color w:val="000000" w:themeColor="text1"/>
          <w:sz w:val="32"/>
          <w:szCs w:val="32"/>
          <w:lang w:eastAsia="zh-CN"/>
          <w14:textFill>
            <w14:solidFill>
              <w14:schemeClr w14:val="tx1"/>
            </w14:solidFill>
          </w14:textFill>
        </w:rPr>
        <w:t>重点聚焦老年人家庭和个人难以应付的失能、残疾、无人照顾等困难状态的老年人基本养老服务需求。在确保特困老年人应养尽养的基础上，优先为低收入的失能、残疾、独居、空巢、留守、高龄老年人以及计划生育特殊家庭老年人、为国家和社会作出特殊贡献的老年人</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lang w:eastAsia="zh-CN"/>
          <w14:textFill>
            <w14:solidFill>
              <w14:schemeClr w14:val="tx1"/>
            </w14:solidFill>
          </w14:textFill>
        </w:rPr>
        <w:t>退役军人提供基本养老服务。（责任单位：县民政局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局、县</w:t>
      </w:r>
      <w:r>
        <w:rPr>
          <w:rFonts w:hint="eastAsia" w:ascii="仿宋" w:hAnsi="仿宋" w:eastAsia="仿宋" w:cs="仿宋"/>
          <w:color w:val="000000" w:themeColor="text1"/>
          <w:sz w:val="32"/>
          <w:szCs w:val="32"/>
          <w14:textFill>
            <w14:solidFill>
              <w14:schemeClr w14:val="tx1"/>
            </w14:solidFill>
          </w14:textFill>
        </w:rPr>
        <w:t>卫</w:t>
      </w:r>
      <w:r>
        <w:rPr>
          <w:rFonts w:hint="eastAsia" w:ascii="仿宋" w:hAnsi="仿宋" w:eastAsia="仿宋" w:cs="仿宋"/>
          <w:color w:val="000000" w:themeColor="text1"/>
          <w:sz w:val="32"/>
          <w:szCs w:val="32"/>
          <w:lang w:eastAsia="zh-CN"/>
          <w14:textFill>
            <w14:solidFill>
              <w14:schemeClr w14:val="tx1"/>
            </w14:solidFill>
          </w14:textFill>
        </w:rPr>
        <w:t>生</w:t>
      </w:r>
      <w:r>
        <w:rPr>
          <w:rFonts w:hint="eastAsia" w:ascii="仿宋" w:hAnsi="仿宋" w:eastAsia="仿宋" w:cs="仿宋"/>
          <w:color w:val="000000" w:themeColor="text1"/>
          <w:sz w:val="32"/>
          <w:szCs w:val="32"/>
          <w14:textFill>
            <w14:solidFill>
              <w14:schemeClr w14:val="tx1"/>
            </w14:solidFill>
          </w14:textFill>
        </w:rPr>
        <w:t>健</w:t>
      </w:r>
      <w:r>
        <w:rPr>
          <w:rFonts w:hint="eastAsia" w:ascii="仿宋" w:hAnsi="仿宋" w:eastAsia="仿宋" w:cs="仿宋"/>
          <w:color w:val="000000" w:themeColor="text1"/>
          <w:sz w:val="32"/>
          <w:szCs w:val="32"/>
          <w:lang w:eastAsia="zh-CN"/>
          <w14:textFill>
            <w14:solidFill>
              <w14:schemeClr w14:val="tx1"/>
            </w14:solidFill>
          </w14:textFill>
        </w:rPr>
        <w:t>康局、县退役军人事务局、县残联按职责分工负责）</w:t>
      </w:r>
    </w:p>
    <w:p w14:paraId="2B1EAF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4.开展老年人能力综合评估。</w:t>
      </w:r>
      <w:r>
        <w:rPr>
          <w:rFonts w:hint="eastAsia" w:ascii="仿宋" w:hAnsi="仿宋" w:eastAsia="仿宋" w:cs="仿宋"/>
          <w:color w:val="000000" w:themeColor="text1"/>
          <w:sz w:val="32"/>
          <w:szCs w:val="32"/>
          <w:lang w:eastAsia="zh-CN"/>
          <w14:textFill>
            <w14:solidFill>
              <w14:schemeClr w14:val="tx1"/>
            </w14:solidFill>
          </w14:textFill>
        </w:rPr>
        <w:t>依据省民政厅《养老服务标准汇编》（</w:t>
      </w:r>
      <w:r>
        <w:rPr>
          <w:rFonts w:hint="eastAsia" w:ascii="仿宋" w:hAnsi="仿宋" w:eastAsia="仿宋" w:cs="仿宋"/>
          <w:color w:val="000000" w:themeColor="text1"/>
          <w:sz w:val="32"/>
          <w:szCs w:val="32"/>
          <w:lang w:val="en-US" w:eastAsia="zh-CN"/>
          <w14:textFill>
            <w14:solidFill>
              <w14:schemeClr w14:val="tx1"/>
            </w14:solidFill>
          </w14:textFill>
        </w:rPr>
        <w:t>2023年</w:t>
      </w:r>
      <w:r>
        <w:rPr>
          <w:rFonts w:hint="eastAsia" w:ascii="仿宋" w:hAnsi="仿宋" w:eastAsia="仿宋" w:cs="仿宋"/>
          <w:color w:val="000000" w:themeColor="text1"/>
          <w:sz w:val="32"/>
          <w:szCs w:val="32"/>
          <w:lang w:eastAsia="zh-CN"/>
          <w14:textFill>
            <w14:solidFill>
              <w14:schemeClr w14:val="tx1"/>
            </w14:solidFill>
          </w14:textFill>
        </w:rPr>
        <w:t>），结合相关标准，在</w:t>
      </w:r>
      <w:r>
        <w:rPr>
          <w:rFonts w:hint="eastAsia" w:ascii="仿宋" w:hAnsi="仿宋" w:eastAsia="仿宋" w:cs="仿宋"/>
          <w:color w:val="000000" w:themeColor="text1"/>
          <w:sz w:val="32"/>
          <w:szCs w:val="32"/>
          <w:lang w:val="en-US" w:eastAsia="zh-CN"/>
          <w14:textFill>
            <w14:solidFill>
              <w14:schemeClr w14:val="tx1"/>
            </w14:solidFill>
          </w14:textFill>
        </w:rPr>
        <w:t>2024年，对全县特困、高龄、失能、留守、空巢、残疾、重点优抚、计划生育特殊家庭中老年人完成老年人能力综合评估；按照需求开展社会老人的能力综合评估；科学确定老年人能力等级，作为享受养老服务补贴、居家社区养老服务、长期护理保险待遇等依据。</w:t>
      </w:r>
      <w:r>
        <w:rPr>
          <w:rFonts w:hint="eastAsia" w:ascii="仿宋" w:hAnsi="仿宋" w:eastAsia="仿宋" w:cs="仿宋"/>
          <w:color w:val="000000" w:themeColor="text1"/>
          <w:sz w:val="32"/>
          <w:szCs w:val="32"/>
          <w:lang w:eastAsia="zh-CN"/>
          <w14:textFill>
            <w14:solidFill>
              <w14:schemeClr w14:val="tx1"/>
            </w14:solidFill>
          </w14:textFill>
        </w:rPr>
        <w:t>（县民政局、县</w:t>
      </w:r>
      <w:r>
        <w:rPr>
          <w:rFonts w:hint="eastAsia" w:ascii="仿宋" w:hAnsi="仿宋" w:eastAsia="仿宋" w:cs="仿宋"/>
          <w:color w:val="000000" w:themeColor="text1"/>
          <w:sz w:val="32"/>
          <w:szCs w:val="32"/>
          <w14:textFill>
            <w14:solidFill>
              <w14:schemeClr w14:val="tx1"/>
            </w14:solidFill>
          </w14:textFill>
        </w:rPr>
        <w:t>卫生健</w:t>
      </w:r>
      <w:r>
        <w:rPr>
          <w:rFonts w:hint="eastAsia" w:ascii="仿宋" w:hAnsi="仿宋" w:eastAsia="仿宋" w:cs="仿宋"/>
          <w:color w:val="000000" w:themeColor="text1"/>
          <w:sz w:val="32"/>
          <w:szCs w:val="32"/>
          <w:lang w:eastAsia="zh-CN"/>
          <w14:textFill>
            <w14:solidFill>
              <w14:schemeClr w14:val="tx1"/>
            </w14:solidFill>
          </w14:textFill>
        </w:rPr>
        <w:t>康局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县人力资源和社会保障局按职责分工负责）</w:t>
      </w:r>
    </w:p>
    <w:p w14:paraId="65C3107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5.建立主动发现机制。</w:t>
      </w:r>
      <w:r>
        <w:rPr>
          <w:rFonts w:hint="eastAsia" w:ascii="仿宋" w:hAnsi="仿宋" w:eastAsia="仿宋" w:cs="仿宋"/>
          <w:color w:val="000000" w:themeColor="text1"/>
          <w:sz w:val="32"/>
          <w:szCs w:val="32"/>
          <w:lang w:val="en-US" w:eastAsia="zh-CN"/>
          <w14:textFill>
            <w14:solidFill>
              <w14:schemeClr w14:val="tx1"/>
            </w14:solidFill>
          </w14:textFill>
        </w:rPr>
        <w:t>依托全省一体化政务服务平台，推进跨部门数据共享，建立困难老年人精准识别、主动发现和动态调整机制。根据老年人能力综合评估结果，精准匹配基本养老服务项目。依托国家人口基础信息库推进基本养老服务对象信息、服务保障信息统一归集、互认和开放共享，做好基本养老服务政策、资金、服务对象等信息公开，接受公众监督。（</w:t>
      </w:r>
      <w:r>
        <w:rPr>
          <w:rFonts w:hint="eastAsia" w:ascii="仿宋" w:hAnsi="仿宋" w:eastAsia="仿宋" w:cs="仿宋"/>
          <w:color w:val="000000" w:themeColor="text1"/>
          <w:sz w:val="32"/>
          <w:szCs w:val="32"/>
          <w:lang w:eastAsia="zh-CN"/>
          <w14:textFill>
            <w14:solidFill>
              <w14:schemeClr w14:val="tx1"/>
            </w14:solidFill>
          </w14:textFill>
        </w:rPr>
        <w:t>县民政局、县人力资源和社会保障局、县残联依据职责分工负责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442947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（三）提升基本养老服务便利化可及化水平</w:t>
      </w:r>
    </w:p>
    <w:p w14:paraId="726C4B3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6.增强居家养老照护能力。</w:t>
      </w:r>
      <w:r>
        <w:rPr>
          <w:rFonts w:hint="eastAsia" w:ascii="仿宋" w:hAnsi="仿宋" w:eastAsia="仿宋" w:cs="仿宋"/>
          <w:color w:val="000000" w:themeColor="text1"/>
          <w:sz w:val="32"/>
          <w:szCs w:val="32"/>
          <w:lang w:val="en-US" w:eastAsia="zh-CN"/>
          <w14:textFill>
            <w14:solidFill>
              <w14:schemeClr w14:val="tx1"/>
            </w14:solidFill>
          </w14:textFill>
        </w:rPr>
        <w:t>强化家庭养老服务主体责任，引导通过购买社会保险、商业保险和加强财产储备等方式提前为老年生活提供支撑。分年度分乡镇推进困难老年人家庭居家适老化改造；开展家庭照护培训，将符合条件的失能老年人家庭成员照护职业技能培训纳入政府职业技能培训补贴范围，给予参加人员职业培训补贴，提高家庭成员照护能力。（</w:t>
      </w:r>
      <w:r>
        <w:rPr>
          <w:rFonts w:hint="eastAsia" w:ascii="仿宋" w:hAnsi="仿宋" w:eastAsia="仿宋" w:cs="仿宋"/>
          <w:color w:val="000000" w:themeColor="text1"/>
          <w:sz w:val="32"/>
          <w:szCs w:val="32"/>
          <w:lang w:eastAsia="zh-CN"/>
          <w14:textFill>
            <w14:solidFill>
              <w14:schemeClr w14:val="tx1"/>
            </w14:solidFill>
          </w14:textFill>
        </w:rPr>
        <w:t>县民政局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局、县人力资源和社会保障局按职责分工负责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39E766E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7.发展农村互助养老服务。</w:t>
      </w:r>
      <w:r>
        <w:rPr>
          <w:rFonts w:hint="eastAsia" w:ascii="仿宋" w:hAnsi="仿宋" w:eastAsia="仿宋" w:cs="仿宋"/>
          <w:color w:val="000000" w:themeColor="text1"/>
          <w:sz w:val="32"/>
          <w:szCs w:val="32"/>
          <w:lang w:val="en-US" w:eastAsia="zh-CN"/>
          <w14:textFill>
            <w14:solidFill>
              <w14:schemeClr w14:val="tx1"/>
            </w14:solidFill>
          </w14:textFill>
        </w:rPr>
        <w:t>推进农村养老服务与乡村振兴有效融合，构建“有场地、有设备、有内容、有经费”农村互助式养老服务网络，支持乡镇特困人员供养服务机构将专业养老服务延伸到村级养老服务机构和居家老年人，引导养老服务企业连锁运营村级养老服务设施。组织实施养老服务示范创建，每个村有2个以上村级养老互助示范点；面向独居、空巢、留守、失能、重残、计划生育家庭等特殊困难老年人建立探访关爱制度，支持社工、基层老年协会、志愿服务组织等参与探访关爱服务。（</w:t>
      </w:r>
      <w:r>
        <w:rPr>
          <w:rFonts w:hint="eastAsia" w:ascii="仿宋" w:hAnsi="仿宋" w:eastAsia="仿宋" w:cs="仿宋"/>
          <w:color w:val="000000" w:themeColor="text1"/>
          <w:sz w:val="32"/>
          <w:szCs w:val="32"/>
          <w:lang w:eastAsia="zh-CN"/>
          <w14:textFill>
            <w14:solidFill>
              <w14:schemeClr w14:val="tx1"/>
            </w14:solidFill>
          </w14:textFill>
        </w:rPr>
        <w:t>县民政局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县农业农村局按职责分工负责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5088BA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8.扩大社区养老服务供给。</w:t>
      </w:r>
      <w:r>
        <w:rPr>
          <w:rFonts w:hint="eastAsia" w:ascii="仿宋" w:hAnsi="仿宋" w:eastAsia="仿宋" w:cs="仿宋"/>
          <w:color w:val="000000" w:themeColor="text1"/>
          <w:sz w:val="32"/>
          <w:szCs w:val="32"/>
          <w:lang w:val="en-US" w:eastAsia="zh-CN"/>
          <w14:textFill>
            <w14:solidFill>
              <w14:schemeClr w14:val="tx1"/>
            </w14:solidFill>
          </w14:textFill>
        </w:rPr>
        <w:t>通过新建、改建、扩建、购置、置换、租赁等方式，全县各村（居）社区按照以总人口数为基准，达到人均用地不少于0.1平方米的标准配置村（居）社区养老服务设施，老龄化程度较高的村或社区可结合实际适当上调标准。支持利用社区综合服务设施用于养老服务，支持养老机构利用配套设施提供社区养老服务，支持养老机构参与社区养老服务平台管理运营实现连锁化运营。统筹规划养老机构、社区养老服务平台等服务供给布局，推动形成以老年人生活服务小区为核心的15分钟基本养老服务圈，并通过养老综合服务平台，链接专业机构、队伍，及时有效满足老年人医疗、康复、照护、全托、日托以及助餐、助洁等服务。支持养老机构、家政服务企业、物业服务企业等专业社会组织提供居家社区养老服务和开展康复辅助器具社区租赁服务，逐步实现嵌入式康复辅助器具销售和租赁网点全覆盖。（</w:t>
      </w:r>
      <w:r>
        <w:rPr>
          <w:rFonts w:hint="eastAsia" w:ascii="仿宋" w:hAnsi="仿宋" w:eastAsia="仿宋" w:cs="仿宋"/>
          <w:color w:val="000000" w:themeColor="text1"/>
          <w:sz w:val="32"/>
          <w:szCs w:val="32"/>
          <w:lang w:eastAsia="zh-CN"/>
          <w14:textFill>
            <w14:solidFill>
              <w14:schemeClr w14:val="tx1"/>
            </w14:solidFill>
          </w14:textFill>
        </w:rPr>
        <w:t>县民政局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县自然资源局、县住房和城乡建设局按职责分工负责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1E8F755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9.优化养老服务设施网络。</w:t>
      </w:r>
      <w:r>
        <w:rPr>
          <w:rFonts w:hint="eastAsia" w:ascii="仿宋" w:hAnsi="仿宋" w:eastAsia="仿宋" w:cs="仿宋"/>
          <w:color w:val="000000" w:themeColor="text1"/>
          <w:sz w:val="32"/>
          <w:szCs w:val="32"/>
          <w:lang w:val="en-US" w:eastAsia="zh-CN"/>
          <w14:textFill>
            <w14:solidFill>
              <w14:schemeClr w14:val="tx1"/>
            </w14:solidFill>
          </w14:textFill>
        </w:rPr>
        <w:t>将养老服务设施建设纳入城乡建设规划，合理确定设施种类、数量、规模以及布局，形成结构科学、功能完备、布局合理的养老服务设施网络，到2025年底确保我县至少有1所失能特困人员专业照护为主的县级特困人员供养服务机构。加大现有公办养老机构改造力度，提升失能失智老年人照护能力，增设失智老年人照护专区。开展养老机构等级标准评定和提升行动，推动其在照护标准、人才储备、信息化管理等方面发挥示范引领作用。引导养老机构为老年人提供一体化健康和养老服务。支持对普通型床位和护理型床位实行差异化补助。探索建立县乡村三级养老服务联合体，“以上带下”提升基层服务能力。（</w:t>
      </w:r>
      <w:r>
        <w:rPr>
          <w:rFonts w:hint="eastAsia" w:ascii="仿宋" w:hAnsi="仿宋" w:eastAsia="仿宋" w:cs="仿宋"/>
          <w:color w:val="000000" w:themeColor="text1"/>
          <w:sz w:val="32"/>
          <w:szCs w:val="32"/>
          <w:lang w:eastAsia="zh-CN"/>
          <w14:textFill>
            <w14:solidFill>
              <w14:schemeClr w14:val="tx1"/>
            </w14:solidFill>
          </w14:textFill>
        </w:rPr>
        <w:t>县民政局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县发展</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lang w:eastAsia="zh-CN"/>
          <w14:textFill>
            <w14:solidFill>
              <w14:schemeClr w14:val="tx1"/>
            </w14:solidFill>
          </w14:textFill>
        </w:rPr>
        <w:t>改革局、县财政局、县</w:t>
      </w:r>
      <w:r>
        <w:rPr>
          <w:rFonts w:hint="eastAsia" w:ascii="仿宋" w:hAnsi="仿宋" w:eastAsia="仿宋" w:cs="仿宋"/>
          <w:color w:val="000000" w:themeColor="text1"/>
          <w:sz w:val="32"/>
          <w:szCs w:val="32"/>
          <w14:textFill>
            <w14:solidFill>
              <w14:schemeClr w14:val="tx1"/>
            </w14:solidFill>
          </w14:textFill>
        </w:rPr>
        <w:t>卫生健</w:t>
      </w:r>
      <w:r>
        <w:rPr>
          <w:rFonts w:hint="eastAsia" w:ascii="仿宋" w:hAnsi="仿宋" w:eastAsia="仿宋" w:cs="仿宋"/>
          <w:color w:val="000000" w:themeColor="text1"/>
          <w:sz w:val="32"/>
          <w:szCs w:val="32"/>
          <w:lang w:eastAsia="zh-CN"/>
          <w14:textFill>
            <w14:solidFill>
              <w14:schemeClr w14:val="tx1"/>
            </w14:solidFill>
          </w14:textFill>
        </w:rPr>
        <w:t>康局、县自然资源局、县退役军人事务局等按职责分工负责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061C578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10.深化医养结合服务。</w:t>
      </w:r>
      <w:r>
        <w:rPr>
          <w:rFonts w:hint="eastAsia" w:ascii="仿宋" w:hAnsi="仿宋" w:eastAsia="仿宋" w:cs="仿宋"/>
          <w:color w:val="000000" w:themeColor="text1"/>
          <w:sz w:val="32"/>
          <w:szCs w:val="32"/>
          <w:lang w:val="en-US" w:eastAsia="zh-CN"/>
          <w14:textFill>
            <w14:solidFill>
              <w14:schemeClr w14:val="tx1"/>
            </w14:solidFill>
          </w14:textFill>
        </w:rPr>
        <w:t>促进现有医疗卫生机构和养老机构合作，推动基层医疗卫生、养老服务等公共服务设施统筹布局、资源共享、服务衔接，支持基层医疗卫生机构提高康复、照护、护理型床位比例和增设安宁疗护床位，为老年人提供养老照护和临终关怀服务；为养老服务机构内老年人提供签约医疗护理服务。支持乡镇卫生院、村卫生室、养老机构中的护理人员和乡村医生为居家失能老年人提供上门护理服务。落实养老服务机构传染病防控和安全生产责任，医养结合机构提供养老服务的场所要与医疗服务区域实行分区管理，做到物理隔离、独立设置。（</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卫生健</w:t>
      </w:r>
      <w:r>
        <w:rPr>
          <w:rFonts w:hint="eastAsia" w:ascii="仿宋" w:hAnsi="仿宋" w:eastAsia="仿宋" w:cs="仿宋"/>
          <w:color w:val="000000" w:themeColor="text1"/>
          <w:sz w:val="32"/>
          <w:szCs w:val="32"/>
          <w:lang w:eastAsia="zh-CN"/>
          <w14:textFill>
            <w14:solidFill>
              <w14:schemeClr w14:val="tx1"/>
            </w14:solidFill>
          </w14:textFill>
        </w:rPr>
        <w:t>康局、县民政局按职责分工负责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55BAEB5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11.稳步建立长期护理保障制度。</w:t>
      </w:r>
      <w:r>
        <w:rPr>
          <w:rFonts w:hint="eastAsia" w:ascii="仿宋" w:hAnsi="仿宋" w:eastAsia="仿宋" w:cs="仿宋"/>
          <w:color w:val="000000" w:themeColor="text1"/>
          <w:sz w:val="32"/>
          <w:szCs w:val="32"/>
          <w:lang w:val="en-US" w:eastAsia="zh-CN"/>
          <w14:textFill>
            <w14:solidFill>
              <w14:schemeClr w14:val="tx1"/>
            </w14:solidFill>
          </w14:textFill>
        </w:rPr>
        <w:t>按照国家的统一部署，探索建立长期护理保险制度，从职工基本医疗保险参保人群起步，重点解决重度失能人员基本护理保障需求。引导商业保险机构发展普惠型健康保险，增加适合老年人的保险产品，鼓励有能力的社会人员为老年人购买健康、意外保险提供支持。（</w:t>
      </w:r>
      <w:r>
        <w:rPr>
          <w:rFonts w:hint="eastAsia" w:ascii="仿宋" w:hAnsi="仿宋" w:eastAsia="仿宋" w:cs="仿宋"/>
          <w:color w:val="000000" w:themeColor="text1"/>
          <w:sz w:val="32"/>
          <w:szCs w:val="32"/>
          <w:lang w:eastAsia="zh-CN"/>
          <w14:textFill>
            <w14:solidFill>
              <w14:schemeClr w14:val="tx1"/>
            </w14:solidFill>
          </w14:textFill>
        </w:rPr>
        <w:t>县医疗保障局、县民政局按职责分工负责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69F2394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（四）提升基本养老服务供给能力</w:t>
      </w:r>
    </w:p>
    <w:p w14:paraId="45D19B6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12.提升公办养老机构照护水平。</w:t>
      </w:r>
      <w:r>
        <w:rPr>
          <w:rFonts w:hint="eastAsia" w:ascii="仿宋" w:hAnsi="仿宋" w:eastAsia="仿宋" w:cs="仿宋"/>
          <w:color w:val="000000" w:themeColor="text1"/>
          <w:sz w:val="32"/>
          <w:szCs w:val="32"/>
          <w:lang w:val="en-US" w:eastAsia="zh-CN"/>
          <w14:textFill>
            <w14:solidFill>
              <w14:schemeClr w14:val="tx1"/>
            </w14:solidFill>
          </w14:textFill>
        </w:rPr>
        <w:t>发挥公办养老机构提供基本养老服务的基础作用。加大公办养老机构运转经费保障力度，持续提升在院老年人生活质量和照护水平。推进县级公办养老机构体制改革，建立公办养老机构入住评估管理制度，明确入住条件和排序原则，在有空余养老床位的前提下按照相关制度排序可以向社会老人开放入住。强化对失能老年人的兜底保障，在满足政策保障对象入住需求的前提下，可适当安排失能老年人入住。现役军人家属和烈士、因公牺牲军人、病故军人的遗属，退役军人，符合规定条件申请入住公办养老机构的，同等条件下优先安排。推动养老机构应急救援体系建设，提升应急保障能力。（</w:t>
      </w:r>
      <w:r>
        <w:rPr>
          <w:rFonts w:hint="eastAsia" w:ascii="仿宋" w:hAnsi="仿宋" w:eastAsia="仿宋" w:cs="仿宋"/>
          <w:color w:val="000000" w:themeColor="text1"/>
          <w:sz w:val="32"/>
          <w:szCs w:val="32"/>
          <w:lang w:eastAsia="zh-CN"/>
          <w14:textFill>
            <w14:solidFill>
              <w14:schemeClr w14:val="tx1"/>
            </w14:solidFill>
          </w14:textFill>
        </w:rPr>
        <w:t>县民政局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县财政局、县</w:t>
      </w:r>
      <w:r>
        <w:rPr>
          <w:rFonts w:hint="eastAsia" w:ascii="仿宋" w:hAnsi="仿宋" w:eastAsia="仿宋" w:cs="仿宋"/>
          <w:color w:val="000000" w:themeColor="text1"/>
          <w:sz w:val="32"/>
          <w:szCs w:val="32"/>
          <w14:textFill>
            <w14:solidFill>
              <w14:schemeClr w14:val="tx1"/>
            </w14:solidFill>
          </w14:textFill>
        </w:rPr>
        <w:t>卫生健</w:t>
      </w:r>
      <w:r>
        <w:rPr>
          <w:rFonts w:hint="eastAsia" w:ascii="仿宋" w:hAnsi="仿宋" w:eastAsia="仿宋" w:cs="仿宋"/>
          <w:color w:val="000000" w:themeColor="text1"/>
          <w:sz w:val="32"/>
          <w:szCs w:val="32"/>
          <w:lang w:eastAsia="zh-CN"/>
          <w14:textFill>
            <w14:solidFill>
              <w14:schemeClr w14:val="tx1"/>
            </w14:solidFill>
          </w14:textFill>
        </w:rPr>
        <w:t>康局、县退役军人事务局按职责分工负责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0AF505F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13.充分调动社会力量积极参与。</w:t>
      </w:r>
      <w:r>
        <w:rPr>
          <w:rFonts w:hint="eastAsia" w:ascii="仿宋" w:hAnsi="仿宋" w:eastAsia="仿宋" w:cs="仿宋"/>
          <w:color w:val="000000" w:themeColor="text1"/>
          <w:sz w:val="32"/>
          <w:szCs w:val="32"/>
          <w:lang w:val="en-US" w:eastAsia="zh-CN"/>
          <w14:textFill>
            <w14:solidFill>
              <w14:schemeClr w14:val="tx1"/>
            </w14:solidFill>
          </w14:textFill>
        </w:rPr>
        <w:t>发挥政府资金引导和撬动作用，综合运用规划、土地、财政、融资等支持政策，引导各类市场主体提供基本养老服务。扶持建设一家具有本土特色的养老行业品牌机构；在保证方便可及、价格合理、质量有保障的前提下实现养老机构规模化、品牌化、连锁化运营。鼓励家政、物业、餐饮、健康等行业市场主体拓展养老服务功能，提供物品代购、餐饮外卖、家政服务、助浴助洁、精神慰藉等服务；鼓励和引导企业、社会组织、个人等社会力量依法通过捐赠、设立慈善基金、志愿服务等方式为基本养老提供支持和帮助。（</w:t>
      </w:r>
      <w:r>
        <w:rPr>
          <w:rFonts w:hint="eastAsia" w:ascii="仿宋" w:hAnsi="仿宋" w:eastAsia="仿宋" w:cs="仿宋"/>
          <w:color w:val="000000" w:themeColor="text1"/>
          <w:sz w:val="32"/>
          <w:szCs w:val="32"/>
          <w:lang w:eastAsia="zh-CN"/>
          <w14:textFill>
            <w14:solidFill>
              <w14:schemeClr w14:val="tx1"/>
            </w14:solidFill>
          </w14:textFill>
        </w:rPr>
        <w:t>县发展</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lang w:eastAsia="zh-CN"/>
          <w14:textFill>
            <w14:solidFill>
              <w14:schemeClr w14:val="tx1"/>
            </w14:solidFill>
          </w14:textFill>
        </w:rPr>
        <w:t>改革局、县民政局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县财政局、县自然资源局、县住房和城乡建设局按职责分工负责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0C1DA19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（五）强化基本养老服务发展要素</w:t>
      </w:r>
    </w:p>
    <w:p w14:paraId="790896E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14.推进制度化、标准化建设。</w:t>
      </w:r>
      <w:r>
        <w:rPr>
          <w:rFonts w:hint="eastAsia" w:ascii="仿宋" w:hAnsi="仿宋" w:eastAsia="仿宋" w:cs="仿宋"/>
          <w:color w:val="000000" w:themeColor="text1"/>
          <w:sz w:val="32"/>
          <w:szCs w:val="32"/>
          <w:lang w:val="en-US" w:eastAsia="zh-CN"/>
          <w14:textFill>
            <w14:solidFill>
              <w14:schemeClr w14:val="tx1"/>
            </w14:solidFill>
          </w14:textFill>
        </w:rPr>
        <w:t>贯彻落实《养老机构服务安全基本规范》等强制性国家标准和配套行业标准，督促养老机构在消防安全、卫生与健康、食品和药品、风险评估、服务防护及 安全管理等方面符合相关规定。探索农村互助养老设施制度化、规范化、标准化，推动村（居）社区养老服务规范化。（</w:t>
      </w:r>
      <w:r>
        <w:rPr>
          <w:rFonts w:hint="eastAsia" w:ascii="仿宋" w:hAnsi="仿宋" w:eastAsia="仿宋" w:cs="仿宋"/>
          <w:color w:val="000000" w:themeColor="text1"/>
          <w:sz w:val="32"/>
          <w:szCs w:val="32"/>
          <w:lang w:eastAsia="zh-CN"/>
          <w14:textFill>
            <w14:solidFill>
              <w14:schemeClr w14:val="tx1"/>
            </w14:solidFill>
          </w14:textFill>
        </w:rPr>
        <w:t>县民政局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县司法局、县市场监督管理局按职责分工负责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7C519ED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15.初步实现养老服务信息化智能化。</w:t>
      </w:r>
      <w:r>
        <w:rPr>
          <w:rFonts w:hint="eastAsia" w:ascii="仿宋" w:hAnsi="仿宋" w:eastAsia="仿宋" w:cs="仿宋"/>
          <w:color w:val="000000" w:themeColor="text1"/>
          <w:sz w:val="32"/>
          <w:szCs w:val="32"/>
          <w:lang w:val="en-US" w:eastAsia="zh-CN"/>
          <w14:textFill>
            <w14:solidFill>
              <w14:schemeClr w14:val="tx1"/>
            </w14:solidFill>
          </w14:textFill>
        </w:rPr>
        <w:t>引导有条件的各类养老机构引入人工智能设备和技术，提供智慧化养老服务；推动与老年人日常生活密切相关的智能设备使用培训力度，提升老年人使用智能设备和APP的能力，逐步缩小“数字鸿沟”，降低老年人应用数字技术的难度。协助市局完成县智慧养老平台建设。依托全省金民工程养老服务信息系统实现每月更新调整机制，逐步实现与全国民政统计信息系统数据同步，依托政务服务平台、金民系统等推进养老服务政务数据共享。（</w:t>
      </w:r>
      <w:r>
        <w:rPr>
          <w:rFonts w:hint="eastAsia" w:ascii="仿宋" w:hAnsi="仿宋" w:eastAsia="仿宋" w:cs="仿宋"/>
          <w:color w:val="000000" w:themeColor="text1"/>
          <w:sz w:val="32"/>
          <w:szCs w:val="32"/>
          <w:lang w:eastAsia="zh-CN"/>
          <w14:textFill>
            <w14:solidFill>
              <w14:schemeClr w14:val="tx1"/>
            </w14:solidFill>
          </w14:textFill>
        </w:rPr>
        <w:t>县商务科技和工业信息化局、县发展</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lang w:eastAsia="zh-CN"/>
          <w14:textFill>
            <w14:solidFill>
              <w14:schemeClr w14:val="tx1"/>
            </w14:solidFill>
          </w14:textFill>
        </w:rPr>
        <w:t>改革局、县民政局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县卫生健康局按职责分工负责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7342308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16.强化供地和设施保障。</w:t>
      </w:r>
      <w:r>
        <w:rPr>
          <w:rFonts w:hint="eastAsia" w:ascii="仿宋" w:hAnsi="仿宋" w:eastAsia="仿宋" w:cs="仿宋"/>
          <w:color w:val="000000" w:themeColor="text1"/>
          <w:sz w:val="32"/>
          <w:szCs w:val="32"/>
          <w:lang w:val="en-US" w:eastAsia="zh-CN"/>
          <w14:textFill>
            <w14:solidFill>
              <w14:schemeClr w14:val="tx1"/>
            </w14:solidFill>
          </w14:textFill>
        </w:rPr>
        <w:t>国土空间规划委员会要吸纳同级民政部门为成员单位，将养老服务设施有关项目建设纳入国土空间规划，保障养老服务设施建设用地。公益性养老服务设施建设用地可依法使用国有划拨土地或者集体所有土地；对营利性养老服务设施建设用地，单独成宗供应的，可采取租赁、先租后让、出让等方式供应。支持党政机关和国有企事业单位所属培训疗养机构转型发展普惠养老项目。（</w:t>
      </w:r>
      <w:r>
        <w:rPr>
          <w:rFonts w:hint="eastAsia" w:ascii="仿宋" w:hAnsi="仿宋" w:eastAsia="仿宋" w:cs="仿宋"/>
          <w:color w:val="000000" w:themeColor="text1"/>
          <w:sz w:val="32"/>
          <w:szCs w:val="32"/>
          <w:lang w:eastAsia="zh-CN"/>
          <w14:textFill>
            <w14:solidFill>
              <w14:schemeClr w14:val="tx1"/>
            </w14:solidFill>
          </w14:textFill>
        </w:rPr>
        <w:t>县自然资源局、县发展</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lang w:eastAsia="zh-CN"/>
          <w14:textFill>
            <w14:solidFill>
              <w14:schemeClr w14:val="tx1"/>
            </w14:solidFill>
          </w14:textFill>
        </w:rPr>
        <w:t>改革局、县民政局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县财政局、县住房和城乡建设局按职责分工负责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55758A6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17.加大财政扶持力度。</w:t>
      </w:r>
      <w:r>
        <w:rPr>
          <w:rFonts w:hint="eastAsia" w:ascii="仿宋" w:hAnsi="仿宋" w:eastAsia="仿宋" w:cs="仿宋"/>
          <w:color w:val="000000" w:themeColor="text1"/>
          <w:sz w:val="32"/>
          <w:szCs w:val="32"/>
          <w:lang w:val="en-US" w:eastAsia="zh-CN"/>
          <w14:textFill>
            <w14:solidFill>
              <w14:schemeClr w14:val="tx1"/>
            </w14:solidFill>
          </w14:textFill>
        </w:rPr>
        <w:t>要建立基本养老服务经费保障机制，将基本养老服务体系建设所需资金纳入财政预算。县级财政要统筹现有资金渠道给予支持，社会福利事业的彩票公益金不低于55%用于发展养老事业，重点向专业照护服务、居家和社区养老服务、农村养老服务等领域倾斜。（</w:t>
      </w:r>
      <w:r>
        <w:rPr>
          <w:rFonts w:hint="eastAsia" w:ascii="仿宋" w:hAnsi="仿宋" w:eastAsia="仿宋" w:cs="仿宋"/>
          <w:color w:val="000000" w:themeColor="text1"/>
          <w:sz w:val="32"/>
          <w:szCs w:val="32"/>
          <w:lang w:eastAsia="zh-CN"/>
          <w14:textFill>
            <w14:solidFill>
              <w14:schemeClr w14:val="tx1"/>
            </w14:solidFill>
          </w14:textFill>
        </w:rPr>
        <w:t>县财政局、县民政局按职责分工负责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495E1DC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18.强化人才队伍支撑。</w:t>
      </w:r>
      <w:r>
        <w:rPr>
          <w:rFonts w:hint="eastAsia" w:ascii="仿宋" w:hAnsi="仿宋" w:eastAsia="仿宋" w:cs="仿宋"/>
          <w:color w:val="000000" w:themeColor="text1"/>
          <w:sz w:val="32"/>
          <w:szCs w:val="32"/>
          <w:lang w:val="en-US" w:eastAsia="zh-CN"/>
          <w14:textFill>
            <w14:solidFill>
              <w14:schemeClr w14:val="tx1"/>
            </w14:solidFill>
          </w14:textFill>
        </w:rPr>
        <w:t>强化养老从业人员激励保障政策，鼓励乡镇统筹各类资金，结合实际在乡镇、村合理开发为老服务公益性岗位，优先吸纳返乡农民工、留守妇女、本地富余劳动力等从事养老服务一线岗位。支持用人单位发放养老从业人员一次性入职补贴、养老服务岗位补贴等。稳步提高养老服务一线工作人员待遇水平。支持举办不同层级的养老护理员技能比赛，对获奖的选手给予一定资金奖励。强化养老机构社工专业化建设，力争到2025年实现每千名老年人、每百张养老机构床位均拥有1名社会工作者。（</w:t>
      </w:r>
      <w:r>
        <w:rPr>
          <w:rFonts w:hint="eastAsia" w:ascii="仿宋" w:hAnsi="仿宋" w:eastAsia="仿宋" w:cs="仿宋"/>
          <w:color w:val="000000" w:themeColor="text1"/>
          <w:sz w:val="32"/>
          <w:szCs w:val="32"/>
          <w:lang w:eastAsia="zh-CN"/>
          <w14:textFill>
            <w14:solidFill>
              <w14:schemeClr w14:val="tx1"/>
            </w14:solidFill>
          </w14:textFill>
        </w:rPr>
        <w:t>县人力资源和社会保障局、县民政局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1FF86F6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19.完善综合监管制度。</w:t>
      </w:r>
      <w:r>
        <w:rPr>
          <w:rFonts w:hint="eastAsia" w:ascii="仿宋" w:hAnsi="仿宋" w:eastAsia="仿宋" w:cs="仿宋"/>
          <w:color w:val="000000" w:themeColor="text1"/>
          <w:sz w:val="32"/>
          <w:szCs w:val="32"/>
          <w:lang w:val="en-US" w:eastAsia="zh-CN"/>
          <w14:textFill>
            <w14:solidFill>
              <w14:schemeClr w14:val="tx1"/>
            </w14:solidFill>
          </w14:textFill>
        </w:rPr>
        <w:t>推动实施《养老机构行政检查办法》等政策法规，规范养老机构联合行政检查，实行从业人员背景审查准入制度，强化风险排查和预警。持续开展防范养老服务领域诈骗问题和涉嫌非法集资养老机构专项整治工作，稳妥处置涉众型金融风险。督促所有养老机构坚持落实安全隐患排查治理主体责任，全面开展养老机构安全隐患排查整治、跟踪销号、限期整改完成等行政措施，构建双重预防机制，确保县内养老机构安全隐患清零。加强行业自律，引导养老机构诚信守法经营。开展养老服务宣传进社区、进家庭、进机构等活动，提高老年人对基本养老服务知识的知晓率。（</w:t>
      </w:r>
      <w:r>
        <w:rPr>
          <w:rFonts w:hint="eastAsia" w:ascii="仿宋" w:hAnsi="仿宋" w:eastAsia="仿宋" w:cs="仿宋"/>
          <w:color w:val="000000" w:themeColor="text1"/>
          <w:sz w:val="32"/>
          <w:szCs w:val="32"/>
          <w:lang w:eastAsia="zh-CN"/>
          <w14:textFill>
            <w14:solidFill>
              <w14:schemeClr w14:val="tx1"/>
            </w14:solidFill>
          </w14:textFill>
        </w:rPr>
        <w:t>县民政局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县网信办、县公安局、县自然资源局、县住房和城乡建设局、县文化旅游广电体育局、县卫生健康局、县应急</w:t>
      </w:r>
      <w:r>
        <w:rPr>
          <w:rFonts w:hint="eastAsia" w:ascii="仿宋" w:hAnsi="仿宋" w:eastAsia="仿宋" w:cs="仿宋"/>
          <w:color w:val="000000" w:themeColor="text1"/>
          <w:sz w:val="32"/>
          <w:szCs w:val="32"/>
          <w:lang w:val="en-US" w:eastAsia="zh-CN"/>
          <w14:textFill>
            <w14:solidFill>
              <w14:schemeClr w14:val="tx1"/>
            </w14:solidFill>
          </w14:textFill>
        </w:rPr>
        <w:t>管理</w:t>
      </w:r>
      <w:r>
        <w:rPr>
          <w:rFonts w:hint="eastAsia" w:ascii="仿宋" w:hAnsi="仿宋" w:eastAsia="仿宋" w:cs="仿宋"/>
          <w:color w:val="000000" w:themeColor="text1"/>
          <w:sz w:val="32"/>
          <w:szCs w:val="32"/>
          <w:lang w:eastAsia="zh-CN"/>
          <w14:textFill>
            <w14:solidFill>
              <w14:schemeClr w14:val="tx1"/>
            </w14:solidFill>
          </w14:textFill>
        </w:rPr>
        <w:t>局、县市场监督管理局、县消防救援</w:t>
      </w:r>
      <w:r>
        <w:rPr>
          <w:rFonts w:hint="eastAsia" w:ascii="仿宋" w:hAnsi="仿宋" w:eastAsia="仿宋" w:cs="仿宋"/>
          <w:color w:val="000000" w:themeColor="text1"/>
          <w:sz w:val="32"/>
          <w:szCs w:val="32"/>
          <w:lang w:val="en-US" w:eastAsia="zh-CN"/>
          <w14:textFill>
            <w14:solidFill>
              <w14:schemeClr w14:val="tx1"/>
            </w14:solidFill>
          </w14:textFill>
        </w:rPr>
        <w:t>局</w:t>
      </w:r>
      <w:r>
        <w:rPr>
          <w:rFonts w:hint="eastAsia" w:ascii="仿宋" w:hAnsi="仿宋" w:eastAsia="仿宋" w:cs="仿宋"/>
          <w:color w:val="000000" w:themeColor="text1"/>
          <w:sz w:val="32"/>
          <w:szCs w:val="32"/>
          <w:lang w:eastAsia="zh-CN"/>
          <w14:textFill>
            <w14:solidFill>
              <w14:schemeClr w14:val="tx1"/>
            </w14:solidFill>
          </w14:textFill>
        </w:rPr>
        <w:t>、各乡镇人民政府按职责分工负责</w:t>
      </w:r>
      <w:r>
        <w:rPr>
          <w:rFonts w:hint="eastAsia" w:ascii="仿宋" w:hAnsi="仿宋" w:eastAsia="仿宋" w:cs="仿宋"/>
          <w:color w:val="000000" w:themeColor="text1"/>
          <w:sz w:val="32"/>
          <w:szCs w:val="32"/>
          <w:lang w:val="en-US" w:eastAsia="zh-CN"/>
          <w14:textFill>
            <w14:solidFill>
              <w14:schemeClr w14:val="tx1"/>
            </w14:solidFill>
          </w14:textFill>
        </w:rPr>
        <w:t>）</w:t>
      </w:r>
    </w:p>
    <w:p w14:paraId="2955952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三、组织保障</w:t>
      </w:r>
    </w:p>
    <w:p w14:paraId="18A3DA4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（一）加强部门协调。</w:t>
      </w:r>
      <w:r>
        <w:rPr>
          <w:rFonts w:hint="eastAsia" w:ascii="仿宋" w:hAnsi="仿宋" w:eastAsia="仿宋" w:cs="仿宋"/>
          <w:color w:val="000000" w:themeColor="text1"/>
          <w:sz w:val="32"/>
          <w:szCs w:val="32"/>
          <w:lang w:val="en-US" w:eastAsia="zh-CN"/>
          <w14:textFill>
            <w14:solidFill>
              <w14:schemeClr w14:val="tx1"/>
            </w14:solidFill>
          </w14:textFill>
        </w:rPr>
        <w:t>加强部门间统筹协调、信息互通、资源共享。健全各责任部门具体落实的责任体系，将基本养老服务体系建设纳入重要议事日程，为方案实施提供坚强保障。各有关部门和单位要按照职责分工，明确措施和要求，抓好方案落实。</w:t>
      </w:r>
    </w:p>
    <w:p w14:paraId="7C10731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（二）加大考核激励。</w:t>
      </w:r>
      <w:r>
        <w:rPr>
          <w:rFonts w:hint="eastAsia" w:ascii="仿宋" w:hAnsi="仿宋" w:eastAsia="仿宋" w:cs="仿宋"/>
          <w:color w:val="000000" w:themeColor="text1"/>
          <w:sz w:val="32"/>
          <w:szCs w:val="32"/>
          <w:lang w:val="en-US" w:eastAsia="zh-CN"/>
          <w14:textFill>
            <w14:solidFill>
              <w14:schemeClr w14:val="tx1"/>
            </w14:solidFill>
          </w14:textFill>
        </w:rPr>
        <w:t>将基本养老服务工作纳入县委、县政府绩效考核范围，对基本养老服务体系相关指标落实情况定期评估监测，加强组织、协调和督导，及时调度工作进展。</w:t>
      </w:r>
    </w:p>
    <w:p w14:paraId="7BC9D47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（三）营造良好氛围。</w:t>
      </w:r>
      <w:r>
        <w:rPr>
          <w:rFonts w:hint="eastAsia" w:ascii="仿宋" w:hAnsi="仿宋" w:eastAsia="仿宋" w:cs="仿宋"/>
          <w:color w:val="000000" w:themeColor="text1"/>
          <w:sz w:val="32"/>
          <w:szCs w:val="32"/>
          <w:lang w:val="en-US" w:eastAsia="zh-CN"/>
          <w14:textFill>
            <w14:solidFill>
              <w14:schemeClr w14:val="tx1"/>
            </w14:solidFill>
          </w14:textFill>
        </w:rPr>
        <w:t>要主动做好基本养老服务政策宣传解读，及时公开基本养老服务信息，畅通意见建议反馈渠道；充分调动各方积极性和主动性，将基本养老服务体系建设和基本服务清单政策宣传到村、组、户，营造全社会敬老、爱老、孝老的良好氛围。</w:t>
      </w:r>
    </w:p>
    <w:p w14:paraId="77D894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5DA139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附件：会同县基本养老服务清单</w:t>
      </w:r>
    </w:p>
    <w:p w14:paraId="023396AF">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17FB5516">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121FD141">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2515F52F">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3B221443">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087FFA18">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38E1F885">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5F32D5DD">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79ED5430">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4CA35DAB">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0D16EA67">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67BB86D7">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23F2CEC0">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5CD2CB1B">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1F5ABBD3">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25B26EEE">
      <w:pPr>
        <w:keepNext w:val="0"/>
        <w:keepLines w:val="0"/>
        <w:pageBreakBefore w:val="0"/>
        <w:widowControl w:val="0"/>
        <w:tabs>
          <w:tab w:val="left" w:pos="2186"/>
        </w:tabs>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w:t>
      </w:r>
    </w:p>
    <w:p w14:paraId="6FE76E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会同县基本养老服务清单</w:t>
      </w:r>
    </w:p>
    <w:tbl>
      <w:tblPr>
        <w:tblStyle w:val="4"/>
        <w:tblpPr w:leftFromText="180" w:rightFromText="180" w:vertAnchor="text" w:horzAnchor="page" w:tblpX="1567" w:tblpY="1062"/>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559"/>
        <w:gridCol w:w="1078"/>
        <w:gridCol w:w="3722"/>
        <w:gridCol w:w="764"/>
        <w:gridCol w:w="1595"/>
      </w:tblGrid>
      <w:tr w14:paraId="1BC0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0DA75D2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w:t>
            </w:r>
          </w:p>
          <w:p w14:paraId="3ADECC0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对象</w:t>
            </w:r>
          </w:p>
        </w:tc>
        <w:tc>
          <w:tcPr>
            <w:tcW w:w="1637" w:type="dxa"/>
            <w:gridSpan w:val="2"/>
            <w:vAlign w:val="center"/>
          </w:tcPr>
          <w:p w14:paraId="351B317C">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服务项目</w:t>
            </w:r>
          </w:p>
        </w:tc>
        <w:tc>
          <w:tcPr>
            <w:tcW w:w="3722" w:type="dxa"/>
            <w:vAlign w:val="center"/>
          </w:tcPr>
          <w:p w14:paraId="667D1E72">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服务内容及标准</w:t>
            </w:r>
          </w:p>
        </w:tc>
        <w:tc>
          <w:tcPr>
            <w:tcW w:w="764" w:type="dxa"/>
            <w:vAlign w:val="center"/>
          </w:tcPr>
          <w:p w14:paraId="3FFA24C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服务类型</w:t>
            </w:r>
          </w:p>
        </w:tc>
        <w:tc>
          <w:tcPr>
            <w:tcW w:w="1595" w:type="dxa"/>
            <w:vAlign w:val="center"/>
          </w:tcPr>
          <w:p w14:paraId="3EE11D6C">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牵头责任部门</w:t>
            </w:r>
          </w:p>
        </w:tc>
      </w:tr>
      <w:tr w14:paraId="2EE1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restart"/>
            <w:vAlign w:val="center"/>
          </w:tcPr>
          <w:p w14:paraId="718C249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达到待遇享受年龄的老年人</w:t>
            </w:r>
          </w:p>
        </w:tc>
        <w:tc>
          <w:tcPr>
            <w:tcW w:w="559" w:type="dxa"/>
            <w:vAlign w:val="center"/>
          </w:tcPr>
          <w:p w14:paraId="2FE268E9">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078" w:type="dxa"/>
            <w:vAlign w:val="center"/>
          </w:tcPr>
          <w:p w14:paraId="1E788B3A">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职工基本</w:t>
            </w:r>
          </w:p>
          <w:p w14:paraId="1E4F71E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养老保险</w:t>
            </w:r>
          </w:p>
        </w:tc>
        <w:tc>
          <w:tcPr>
            <w:tcW w:w="3722" w:type="dxa"/>
            <w:vAlign w:val="center"/>
          </w:tcPr>
          <w:p w14:paraId="59D20063">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为符合条件的参保老年人按时足额发放基本养老金。</w:t>
            </w:r>
          </w:p>
        </w:tc>
        <w:tc>
          <w:tcPr>
            <w:tcW w:w="764" w:type="dxa"/>
            <w:vAlign w:val="center"/>
          </w:tcPr>
          <w:p w14:paraId="489950B2">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5CEF92B2">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县人社局</w:t>
            </w:r>
          </w:p>
        </w:tc>
      </w:tr>
      <w:tr w14:paraId="00DA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continue"/>
            <w:vAlign w:val="center"/>
          </w:tcPr>
          <w:p w14:paraId="15F87E1C">
            <w:pPr>
              <w:jc w:val="center"/>
              <w:rPr>
                <w:rFonts w:hint="eastAsia" w:ascii="仿宋" w:hAnsi="仿宋" w:eastAsia="仿宋" w:cs="仿宋"/>
                <w:color w:val="auto"/>
                <w:sz w:val="21"/>
                <w:szCs w:val="21"/>
                <w:vertAlign w:val="baseline"/>
                <w:lang w:val="en-US" w:eastAsia="zh-CN"/>
              </w:rPr>
            </w:pPr>
          </w:p>
        </w:tc>
        <w:tc>
          <w:tcPr>
            <w:tcW w:w="559" w:type="dxa"/>
            <w:vAlign w:val="center"/>
          </w:tcPr>
          <w:p w14:paraId="4B488ADA">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1078" w:type="dxa"/>
            <w:vAlign w:val="center"/>
          </w:tcPr>
          <w:p w14:paraId="0B2A5F74">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城乡居民基本养老保险</w:t>
            </w:r>
          </w:p>
        </w:tc>
        <w:tc>
          <w:tcPr>
            <w:tcW w:w="3722" w:type="dxa"/>
            <w:vAlign w:val="center"/>
          </w:tcPr>
          <w:p w14:paraId="3D090A81">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为符合条件的参保老年人发放基础养老金和个人账户养老金。</w:t>
            </w:r>
          </w:p>
        </w:tc>
        <w:tc>
          <w:tcPr>
            <w:tcW w:w="764" w:type="dxa"/>
            <w:vAlign w:val="center"/>
          </w:tcPr>
          <w:p w14:paraId="3019D3B0">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01B47319">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县人社局</w:t>
            </w:r>
          </w:p>
        </w:tc>
      </w:tr>
      <w:tr w14:paraId="00DE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6" w:type="dxa"/>
            <w:vMerge w:val="continue"/>
            <w:vAlign w:val="center"/>
          </w:tcPr>
          <w:p w14:paraId="6BD2DFD3">
            <w:pPr>
              <w:jc w:val="center"/>
              <w:rPr>
                <w:rFonts w:hint="eastAsia" w:ascii="仿宋" w:hAnsi="仿宋" w:eastAsia="仿宋" w:cs="仿宋"/>
                <w:color w:val="auto"/>
                <w:sz w:val="21"/>
                <w:szCs w:val="21"/>
                <w:vertAlign w:val="baseline"/>
                <w:lang w:val="en-US" w:eastAsia="zh-CN"/>
              </w:rPr>
            </w:pPr>
          </w:p>
        </w:tc>
        <w:tc>
          <w:tcPr>
            <w:tcW w:w="559" w:type="dxa"/>
            <w:vAlign w:val="center"/>
          </w:tcPr>
          <w:p w14:paraId="7847E4C3">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1078" w:type="dxa"/>
            <w:vAlign w:val="center"/>
          </w:tcPr>
          <w:p w14:paraId="2B34777B">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健康管理服务</w:t>
            </w:r>
          </w:p>
        </w:tc>
        <w:tc>
          <w:tcPr>
            <w:tcW w:w="3722" w:type="dxa"/>
            <w:vAlign w:val="center"/>
          </w:tcPr>
          <w:p w14:paraId="698F1F84">
            <w:pPr>
              <w:jc w:val="left"/>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 xml:space="preserve">    基层医疗卫生机构，为符合条件的65周岁及以上老年人，每年提供1次健康管理服务，内容包括生活方式和健康状况评估、体格检查、辅助检查和健康指导，每年提供1次中医药健康管理服务，内容包括中医体质辨识和中医药保健指导。</w:t>
            </w:r>
          </w:p>
        </w:tc>
        <w:tc>
          <w:tcPr>
            <w:tcW w:w="764" w:type="dxa"/>
            <w:vAlign w:val="center"/>
          </w:tcPr>
          <w:p w14:paraId="73C0B1B3">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照护服务</w:t>
            </w:r>
          </w:p>
        </w:tc>
        <w:tc>
          <w:tcPr>
            <w:tcW w:w="1595" w:type="dxa"/>
            <w:vAlign w:val="center"/>
          </w:tcPr>
          <w:p w14:paraId="438C6CFC">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县卫健局</w:t>
            </w:r>
          </w:p>
        </w:tc>
      </w:tr>
      <w:tr w14:paraId="68C9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continue"/>
            <w:vAlign w:val="center"/>
          </w:tcPr>
          <w:p w14:paraId="2CC9D0DF">
            <w:pPr>
              <w:jc w:val="center"/>
              <w:rPr>
                <w:rFonts w:hint="eastAsia" w:ascii="仿宋" w:hAnsi="仿宋" w:eastAsia="仿宋" w:cs="仿宋"/>
                <w:color w:val="auto"/>
                <w:sz w:val="21"/>
                <w:szCs w:val="21"/>
                <w:vertAlign w:val="baseline"/>
                <w:lang w:val="en-US" w:eastAsia="zh-CN"/>
              </w:rPr>
            </w:pPr>
          </w:p>
        </w:tc>
        <w:tc>
          <w:tcPr>
            <w:tcW w:w="559" w:type="dxa"/>
            <w:vAlign w:val="center"/>
          </w:tcPr>
          <w:p w14:paraId="6467A02E">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c>
          <w:tcPr>
            <w:tcW w:w="1078" w:type="dxa"/>
            <w:vAlign w:val="center"/>
          </w:tcPr>
          <w:p w14:paraId="780BC202">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就医便利服务</w:t>
            </w:r>
          </w:p>
        </w:tc>
        <w:tc>
          <w:tcPr>
            <w:tcW w:w="3722" w:type="dxa"/>
            <w:vAlign w:val="center"/>
          </w:tcPr>
          <w:p w14:paraId="6028D9DB">
            <w:pPr>
              <w:jc w:val="left"/>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 xml:space="preserve">    所有医疗机构为60周岁及以上老年人提供挂号、就医等方便的便利服务。</w:t>
            </w:r>
          </w:p>
        </w:tc>
        <w:tc>
          <w:tcPr>
            <w:tcW w:w="764" w:type="dxa"/>
            <w:vAlign w:val="center"/>
          </w:tcPr>
          <w:p w14:paraId="2BAA93F9">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照护服务</w:t>
            </w:r>
          </w:p>
        </w:tc>
        <w:tc>
          <w:tcPr>
            <w:tcW w:w="1595" w:type="dxa"/>
            <w:vAlign w:val="center"/>
          </w:tcPr>
          <w:p w14:paraId="59D10C88">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县卫健局</w:t>
            </w:r>
          </w:p>
        </w:tc>
      </w:tr>
      <w:tr w14:paraId="3589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continue"/>
            <w:vAlign w:val="center"/>
          </w:tcPr>
          <w:p w14:paraId="6DA2E2CF">
            <w:pPr>
              <w:jc w:val="center"/>
              <w:rPr>
                <w:rFonts w:hint="eastAsia" w:ascii="仿宋" w:hAnsi="仿宋" w:eastAsia="仿宋" w:cs="仿宋"/>
                <w:color w:val="auto"/>
                <w:sz w:val="21"/>
                <w:szCs w:val="21"/>
                <w:vertAlign w:val="baseline"/>
                <w:lang w:val="en-US" w:eastAsia="zh-CN"/>
              </w:rPr>
            </w:pPr>
          </w:p>
        </w:tc>
        <w:tc>
          <w:tcPr>
            <w:tcW w:w="559" w:type="dxa"/>
            <w:vAlign w:val="center"/>
          </w:tcPr>
          <w:p w14:paraId="4C30F39F">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w:t>
            </w:r>
          </w:p>
        </w:tc>
        <w:tc>
          <w:tcPr>
            <w:tcW w:w="1078" w:type="dxa"/>
            <w:vAlign w:val="center"/>
          </w:tcPr>
          <w:p w14:paraId="4342BEAD">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居家上门服务</w:t>
            </w:r>
          </w:p>
        </w:tc>
        <w:tc>
          <w:tcPr>
            <w:tcW w:w="3722" w:type="dxa"/>
            <w:vAlign w:val="center"/>
          </w:tcPr>
          <w:p w14:paraId="5E6073FB">
            <w:pPr>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为符合当地规定的经济困难的高龄、失能（失智）、计划生育特殊家庭老年人，通过政府购买服务的方式引入第三方专业服务组织，提供助餐、助洁、助浴、助医、助行、助急等居家上门服务。</w:t>
            </w:r>
          </w:p>
        </w:tc>
        <w:tc>
          <w:tcPr>
            <w:tcW w:w="764" w:type="dxa"/>
            <w:vAlign w:val="center"/>
          </w:tcPr>
          <w:p w14:paraId="4AB3C9DC">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照护服务</w:t>
            </w:r>
          </w:p>
        </w:tc>
        <w:tc>
          <w:tcPr>
            <w:tcW w:w="1595" w:type="dxa"/>
            <w:vAlign w:val="center"/>
          </w:tcPr>
          <w:p w14:paraId="0AA91C9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tc>
      </w:tr>
      <w:tr w14:paraId="1F47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36" w:type="dxa"/>
            <w:vMerge w:val="continue"/>
            <w:vAlign w:val="center"/>
          </w:tcPr>
          <w:p w14:paraId="789FC32A">
            <w:pPr>
              <w:jc w:val="center"/>
              <w:rPr>
                <w:rFonts w:hint="eastAsia" w:ascii="仿宋" w:hAnsi="仿宋" w:eastAsia="仿宋" w:cs="仿宋"/>
                <w:color w:val="auto"/>
                <w:sz w:val="21"/>
                <w:szCs w:val="21"/>
                <w:vertAlign w:val="baseline"/>
                <w:lang w:val="en-US" w:eastAsia="zh-CN"/>
              </w:rPr>
            </w:pPr>
          </w:p>
        </w:tc>
        <w:tc>
          <w:tcPr>
            <w:tcW w:w="559" w:type="dxa"/>
            <w:vAlign w:val="center"/>
          </w:tcPr>
          <w:p w14:paraId="53F960EB">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w:t>
            </w:r>
          </w:p>
        </w:tc>
        <w:tc>
          <w:tcPr>
            <w:tcW w:w="1078" w:type="dxa"/>
            <w:vAlign w:val="center"/>
          </w:tcPr>
          <w:p w14:paraId="2A205FC4">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公证服务</w:t>
            </w:r>
          </w:p>
        </w:tc>
        <w:tc>
          <w:tcPr>
            <w:tcW w:w="3722" w:type="dxa"/>
            <w:vAlign w:val="center"/>
          </w:tcPr>
          <w:p w14:paraId="7CAC6626">
            <w:pPr>
              <w:jc w:val="left"/>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经济困难的60周岁及以上的老年人申办公证，按照规定减免公证费</w:t>
            </w:r>
          </w:p>
        </w:tc>
        <w:tc>
          <w:tcPr>
            <w:tcW w:w="764" w:type="dxa"/>
            <w:vAlign w:val="center"/>
          </w:tcPr>
          <w:p w14:paraId="58BEBD6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30050E4B">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县司法局</w:t>
            </w:r>
          </w:p>
        </w:tc>
      </w:tr>
      <w:tr w14:paraId="7A3C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continue"/>
            <w:vAlign w:val="center"/>
          </w:tcPr>
          <w:p w14:paraId="2FEA628F">
            <w:pPr>
              <w:jc w:val="center"/>
              <w:rPr>
                <w:rFonts w:hint="eastAsia" w:ascii="仿宋" w:hAnsi="仿宋" w:eastAsia="仿宋" w:cs="仿宋"/>
                <w:color w:val="auto"/>
                <w:sz w:val="21"/>
                <w:szCs w:val="21"/>
                <w:vertAlign w:val="baseline"/>
                <w:lang w:val="en-US" w:eastAsia="zh-CN"/>
              </w:rPr>
            </w:pPr>
          </w:p>
        </w:tc>
        <w:tc>
          <w:tcPr>
            <w:tcW w:w="559" w:type="dxa"/>
            <w:vAlign w:val="center"/>
          </w:tcPr>
          <w:p w14:paraId="08191757">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7</w:t>
            </w:r>
          </w:p>
        </w:tc>
        <w:tc>
          <w:tcPr>
            <w:tcW w:w="1078" w:type="dxa"/>
            <w:vAlign w:val="center"/>
          </w:tcPr>
          <w:p w14:paraId="68B10669">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法律援助服务</w:t>
            </w:r>
          </w:p>
        </w:tc>
        <w:tc>
          <w:tcPr>
            <w:tcW w:w="3722" w:type="dxa"/>
            <w:vAlign w:val="center"/>
          </w:tcPr>
          <w:p w14:paraId="14984903">
            <w:pPr>
              <w:jc w:val="left"/>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经济困难的60周岁及以上的老年人未追索赡养费、抚养费、扶养费、抚恤金等提起诉讼，依法给予法律援助服务</w:t>
            </w:r>
          </w:p>
        </w:tc>
        <w:tc>
          <w:tcPr>
            <w:tcW w:w="764" w:type="dxa"/>
            <w:vAlign w:val="center"/>
          </w:tcPr>
          <w:p w14:paraId="6B9A57A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07C9F357">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县司法局</w:t>
            </w:r>
          </w:p>
        </w:tc>
      </w:tr>
      <w:tr w14:paraId="0306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036" w:type="dxa"/>
            <w:vMerge w:val="continue"/>
            <w:vAlign w:val="center"/>
          </w:tcPr>
          <w:p w14:paraId="564F5384">
            <w:pPr>
              <w:jc w:val="center"/>
              <w:rPr>
                <w:rFonts w:hint="eastAsia" w:ascii="仿宋" w:hAnsi="仿宋" w:eastAsia="仿宋" w:cs="仿宋"/>
                <w:color w:val="auto"/>
                <w:sz w:val="21"/>
                <w:szCs w:val="21"/>
                <w:vertAlign w:val="baseline"/>
                <w:lang w:val="en-US" w:eastAsia="zh-CN"/>
              </w:rPr>
            </w:pPr>
          </w:p>
        </w:tc>
        <w:tc>
          <w:tcPr>
            <w:tcW w:w="559" w:type="dxa"/>
            <w:vAlign w:val="center"/>
          </w:tcPr>
          <w:p w14:paraId="5E861D2E">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8</w:t>
            </w:r>
          </w:p>
        </w:tc>
        <w:tc>
          <w:tcPr>
            <w:tcW w:w="1078" w:type="dxa"/>
            <w:vAlign w:val="center"/>
          </w:tcPr>
          <w:p w14:paraId="13AEF469">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文化休闲优待服务</w:t>
            </w:r>
          </w:p>
        </w:tc>
        <w:tc>
          <w:tcPr>
            <w:tcW w:w="3722" w:type="dxa"/>
            <w:vAlign w:val="center"/>
          </w:tcPr>
          <w:p w14:paraId="3C0969EE">
            <w:pPr>
              <w:jc w:val="left"/>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60周岁及以上老年人凭有效证件进入政府投资主办的公共文化馆、图书馆、博物馆、科技馆、展览馆、纪念馆等场所和旅游区（点），可按照规定享受免费或半价优惠。</w:t>
            </w:r>
          </w:p>
        </w:tc>
        <w:tc>
          <w:tcPr>
            <w:tcW w:w="764" w:type="dxa"/>
            <w:vAlign w:val="center"/>
          </w:tcPr>
          <w:p w14:paraId="51C4105D">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034E1258">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县文旅广体局</w:t>
            </w:r>
          </w:p>
        </w:tc>
      </w:tr>
      <w:tr w14:paraId="74EF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continue"/>
            <w:vAlign w:val="center"/>
          </w:tcPr>
          <w:p w14:paraId="21E74EE0">
            <w:pPr>
              <w:jc w:val="center"/>
              <w:rPr>
                <w:rFonts w:hint="eastAsia" w:ascii="仿宋" w:hAnsi="仿宋" w:eastAsia="仿宋" w:cs="仿宋"/>
                <w:color w:val="auto"/>
                <w:sz w:val="21"/>
                <w:szCs w:val="21"/>
                <w:vertAlign w:val="baseline"/>
                <w:lang w:val="en-US" w:eastAsia="zh-CN"/>
              </w:rPr>
            </w:pPr>
          </w:p>
        </w:tc>
        <w:tc>
          <w:tcPr>
            <w:tcW w:w="559" w:type="dxa"/>
            <w:vAlign w:val="center"/>
          </w:tcPr>
          <w:p w14:paraId="682C11F0">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9</w:t>
            </w:r>
          </w:p>
        </w:tc>
        <w:tc>
          <w:tcPr>
            <w:tcW w:w="1078" w:type="dxa"/>
            <w:vAlign w:val="center"/>
          </w:tcPr>
          <w:p w14:paraId="045BFFE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城市公共交通优待服务</w:t>
            </w:r>
          </w:p>
        </w:tc>
        <w:tc>
          <w:tcPr>
            <w:tcW w:w="3722" w:type="dxa"/>
            <w:vAlign w:val="center"/>
          </w:tcPr>
          <w:p w14:paraId="3FEE26A9">
            <w:pPr>
              <w:jc w:val="left"/>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65周岁及以上老年人持本地区老年卡免费乘坐城市公共交通工具。</w:t>
            </w:r>
          </w:p>
        </w:tc>
        <w:tc>
          <w:tcPr>
            <w:tcW w:w="764" w:type="dxa"/>
            <w:vAlign w:val="center"/>
          </w:tcPr>
          <w:p w14:paraId="62D73189">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1A25A238">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县交通局</w:t>
            </w:r>
          </w:p>
        </w:tc>
      </w:tr>
      <w:tr w14:paraId="2A4B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7B5A280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w:t>
            </w:r>
          </w:p>
          <w:p w14:paraId="154AAA8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对象</w:t>
            </w:r>
          </w:p>
        </w:tc>
        <w:tc>
          <w:tcPr>
            <w:tcW w:w="1637" w:type="dxa"/>
            <w:gridSpan w:val="2"/>
            <w:vAlign w:val="center"/>
          </w:tcPr>
          <w:p w14:paraId="17DE1FBC">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服务项目</w:t>
            </w:r>
          </w:p>
        </w:tc>
        <w:tc>
          <w:tcPr>
            <w:tcW w:w="3722" w:type="dxa"/>
            <w:vAlign w:val="center"/>
          </w:tcPr>
          <w:p w14:paraId="7A79336A">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服务内容及标准</w:t>
            </w:r>
          </w:p>
        </w:tc>
        <w:tc>
          <w:tcPr>
            <w:tcW w:w="764" w:type="dxa"/>
            <w:vAlign w:val="center"/>
          </w:tcPr>
          <w:p w14:paraId="6DAB11BF">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服务类型</w:t>
            </w:r>
          </w:p>
        </w:tc>
        <w:tc>
          <w:tcPr>
            <w:tcW w:w="1595" w:type="dxa"/>
            <w:vAlign w:val="center"/>
          </w:tcPr>
          <w:p w14:paraId="63266FD4">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牵头责任部门</w:t>
            </w:r>
          </w:p>
        </w:tc>
      </w:tr>
      <w:tr w14:paraId="633E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036" w:type="dxa"/>
            <w:vAlign w:val="center"/>
          </w:tcPr>
          <w:p w14:paraId="272275DC">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65周岁及以上老年人</w:t>
            </w:r>
          </w:p>
        </w:tc>
        <w:tc>
          <w:tcPr>
            <w:tcW w:w="559" w:type="dxa"/>
            <w:vAlign w:val="center"/>
          </w:tcPr>
          <w:p w14:paraId="0ABE7A30">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10</w:t>
            </w:r>
          </w:p>
        </w:tc>
        <w:tc>
          <w:tcPr>
            <w:tcW w:w="1078" w:type="dxa"/>
            <w:vAlign w:val="center"/>
          </w:tcPr>
          <w:p w14:paraId="31F816ED">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老年人能力综合评估</w:t>
            </w:r>
          </w:p>
        </w:tc>
        <w:tc>
          <w:tcPr>
            <w:tcW w:w="3722" w:type="dxa"/>
            <w:vAlign w:val="center"/>
          </w:tcPr>
          <w:p w14:paraId="26A12942">
            <w:pPr>
              <w:ind w:firstLine="420" w:firstLineChars="200"/>
              <w:jc w:val="left"/>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为有需求的老年人提供能力综合评估，与基本公共服务结合，做好老年人能力综合评估与健康评估的衔接。</w:t>
            </w:r>
          </w:p>
        </w:tc>
        <w:tc>
          <w:tcPr>
            <w:tcW w:w="764" w:type="dxa"/>
            <w:vAlign w:val="center"/>
          </w:tcPr>
          <w:p w14:paraId="5C453FAF">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照护服务</w:t>
            </w:r>
          </w:p>
        </w:tc>
        <w:tc>
          <w:tcPr>
            <w:tcW w:w="1595" w:type="dxa"/>
            <w:vAlign w:val="center"/>
          </w:tcPr>
          <w:p w14:paraId="740B477B">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p w14:paraId="76EF8995">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县卫健局</w:t>
            </w:r>
          </w:p>
        </w:tc>
      </w:tr>
      <w:tr w14:paraId="0AA3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036" w:type="dxa"/>
            <w:vAlign w:val="center"/>
          </w:tcPr>
          <w:p w14:paraId="60FCB5C6">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65周岁及以上老年人</w:t>
            </w:r>
          </w:p>
        </w:tc>
        <w:tc>
          <w:tcPr>
            <w:tcW w:w="559" w:type="dxa"/>
            <w:vAlign w:val="center"/>
          </w:tcPr>
          <w:p w14:paraId="7A0B0A58">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11</w:t>
            </w:r>
          </w:p>
        </w:tc>
        <w:tc>
          <w:tcPr>
            <w:tcW w:w="1078" w:type="dxa"/>
            <w:vAlign w:val="center"/>
          </w:tcPr>
          <w:p w14:paraId="524A1067">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家庭医生签约服务</w:t>
            </w:r>
          </w:p>
        </w:tc>
        <w:tc>
          <w:tcPr>
            <w:tcW w:w="3722" w:type="dxa"/>
            <w:vAlign w:val="center"/>
          </w:tcPr>
          <w:p w14:paraId="0E8708D6">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对失能、部分失能的居家老年人，由基础医疗卫生机构和医务人员实行家庭医生签约服务，提供适宜上门的健康管理服务</w:t>
            </w:r>
          </w:p>
        </w:tc>
        <w:tc>
          <w:tcPr>
            <w:tcW w:w="764" w:type="dxa"/>
            <w:vAlign w:val="center"/>
          </w:tcPr>
          <w:p w14:paraId="3D173C05">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照护服务</w:t>
            </w:r>
          </w:p>
        </w:tc>
        <w:tc>
          <w:tcPr>
            <w:tcW w:w="1595" w:type="dxa"/>
            <w:vAlign w:val="center"/>
          </w:tcPr>
          <w:p w14:paraId="1F6E0199">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县卫健局</w:t>
            </w:r>
          </w:p>
        </w:tc>
      </w:tr>
      <w:tr w14:paraId="71B6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36" w:type="dxa"/>
            <w:vMerge w:val="restart"/>
            <w:vAlign w:val="center"/>
          </w:tcPr>
          <w:p w14:paraId="025A710F">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80周岁及以上老年人</w:t>
            </w:r>
          </w:p>
        </w:tc>
        <w:tc>
          <w:tcPr>
            <w:tcW w:w="559" w:type="dxa"/>
            <w:vAlign w:val="center"/>
          </w:tcPr>
          <w:p w14:paraId="55E81820">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12</w:t>
            </w:r>
          </w:p>
        </w:tc>
        <w:tc>
          <w:tcPr>
            <w:tcW w:w="1078" w:type="dxa"/>
            <w:vAlign w:val="center"/>
          </w:tcPr>
          <w:p w14:paraId="2DF338B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高龄补贴</w:t>
            </w:r>
          </w:p>
        </w:tc>
        <w:tc>
          <w:tcPr>
            <w:tcW w:w="3722" w:type="dxa"/>
            <w:vAlign w:val="center"/>
          </w:tcPr>
          <w:p w14:paraId="0B7F366E">
            <w:pPr>
              <w:ind w:firstLine="420" w:firstLineChars="200"/>
              <w:jc w:val="left"/>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为本地户籍80—89周岁老年人，按每人每月不低于20元标准发放高龄补贴。</w:t>
            </w:r>
          </w:p>
        </w:tc>
        <w:tc>
          <w:tcPr>
            <w:tcW w:w="764" w:type="dxa"/>
            <w:vAlign w:val="center"/>
          </w:tcPr>
          <w:p w14:paraId="0359196C">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79D0388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p w14:paraId="51EE7284">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县财政局</w:t>
            </w:r>
          </w:p>
        </w:tc>
      </w:tr>
      <w:tr w14:paraId="7D30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036" w:type="dxa"/>
            <w:vMerge w:val="continue"/>
            <w:vAlign w:val="center"/>
          </w:tcPr>
          <w:p w14:paraId="116DBE84">
            <w:pPr>
              <w:jc w:val="center"/>
              <w:rPr>
                <w:rFonts w:hint="eastAsia" w:ascii="仿宋" w:hAnsi="仿宋" w:eastAsia="仿宋" w:cs="仿宋"/>
                <w:color w:val="auto"/>
                <w:sz w:val="21"/>
                <w:szCs w:val="21"/>
                <w:vertAlign w:val="baseline"/>
                <w:lang w:val="en-US" w:eastAsia="zh-CN"/>
              </w:rPr>
            </w:pPr>
          </w:p>
        </w:tc>
        <w:tc>
          <w:tcPr>
            <w:tcW w:w="559" w:type="dxa"/>
            <w:vAlign w:val="center"/>
          </w:tcPr>
          <w:p w14:paraId="3A81FCD4">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13</w:t>
            </w:r>
          </w:p>
        </w:tc>
        <w:tc>
          <w:tcPr>
            <w:tcW w:w="1078" w:type="dxa"/>
            <w:vAlign w:val="center"/>
          </w:tcPr>
          <w:p w14:paraId="51569AE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高龄补贴</w:t>
            </w:r>
          </w:p>
        </w:tc>
        <w:tc>
          <w:tcPr>
            <w:tcW w:w="3722" w:type="dxa"/>
            <w:vAlign w:val="center"/>
          </w:tcPr>
          <w:p w14:paraId="0321E866">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为本地户籍90—99周岁老年人，按每人每月不低于60元标准发放高龄补贴。</w:t>
            </w:r>
          </w:p>
        </w:tc>
        <w:tc>
          <w:tcPr>
            <w:tcW w:w="764" w:type="dxa"/>
            <w:vAlign w:val="center"/>
          </w:tcPr>
          <w:p w14:paraId="02B9C90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2F102123">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p w14:paraId="15402F3D">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县财政局</w:t>
            </w:r>
          </w:p>
        </w:tc>
      </w:tr>
      <w:tr w14:paraId="7C82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036" w:type="dxa"/>
            <w:vMerge w:val="continue"/>
            <w:vAlign w:val="center"/>
          </w:tcPr>
          <w:p w14:paraId="5ACAF574">
            <w:pPr>
              <w:jc w:val="center"/>
              <w:rPr>
                <w:rFonts w:hint="eastAsia" w:ascii="仿宋" w:hAnsi="仿宋" w:eastAsia="仿宋" w:cs="仿宋"/>
                <w:color w:val="auto"/>
                <w:sz w:val="21"/>
                <w:szCs w:val="21"/>
                <w:vertAlign w:val="baseline"/>
                <w:lang w:val="en-US" w:eastAsia="zh-CN"/>
              </w:rPr>
            </w:pPr>
          </w:p>
        </w:tc>
        <w:tc>
          <w:tcPr>
            <w:tcW w:w="559" w:type="dxa"/>
            <w:vAlign w:val="center"/>
          </w:tcPr>
          <w:p w14:paraId="3D8C9D49">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14</w:t>
            </w:r>
          </w:p>
        </w:tc>
        <w:tc>
          <w:tcPr>
            <w:tcW w:w="1078" w:type="dxa"/>
            <w:vAlign w:val="center"/>
          </w:tcPr>
          <w:p w14:paraId="12BD13E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百岁老年人长寿保健补贴</w:t>
            </w:r>
          </w:p>
        </w:tc>
        <w:tc>
          <w:tcPr>
            <w:tcW w:w="3722" w:type="dxa"/>
            <w:vAlign w:val="center"/>
          </w:tcPr>
          <w:p w14:paraId="721FC69D">
            <w:pPr>
              <w:ind w:firstLine="420" w:firstLineChars="200"/>
              <w:jc w:val="left"/>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为本地户籍100周岁及以上的老年人，按每人每月不低于300元的标准发放长寿保健补贴。</w:t>
            </w:r>
          </w:p>
        </w:tc>
        <w:tc>
          <w:tcPr>
            <w:tcW w:w="764" w:type="dxa"/>
            <w:vAlign w:val="center"/>
          </w:tcPr>
          <w:p w14:paraId="7C0D73C4">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3888437D">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p w14:paraId="369BC894">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县财政局</w:t>
            </w:r>
          </w:p>
        </w:tc>
      </w:tr>
      <w:tr w14:paraId="36F2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36" w:type="dxa"/>
            <w:vMerge w:val="restart"/>
            <w:vAlign w:val="center"/>
          </w:tcPr>
          <w:p w14:paraId="7CA71840">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经济困难的老年人</w:t>
            </w:r>
          </w:p>
        </w:tc>
        <w:tc>
          <w:tcPr>
            <w:tcW w:w="559" w:type="dxa"/>
            <w:vAlign w:val="center"/>
          </w:tcPr>
          <w:p w14:paraId="68DB6583">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15</w:t>
            </w:r>
          </w:p>
        </w:tc>
        <w:tc>
          <w:tcPr>
            <w:tcW w:w="1078" w:type="dxa"/>
            <w:vAlign w:val="center"/>
          </w:tcPr>
          <w:p w14:paraId="4291E584">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养老服务补贴</w:t>
            </w:r>
          </w:p>
        </w:tc>
        <w:tc>
          <w:tcPr>
            <w:tcW w:w="3722" w:type="dxa"/>
            <w:vAlign w:val="center"/>
          </w:tcPr>
          <w:p w14:paraId="035BC8E3">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为经济困难的老年人提供养老服务补贴。</w:t>
            </w:r>
          </w:p>
        </w:tc>
        <w:tc>
          <w:tcPr>
            <w:tcW w:w="764" w:type="dxa"/>
            <w:vAlign w:val="center"/>
          </w:tcPr>
          <w:p w14:paraId="6956E95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7FF24CE2">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tc>
      </w:tr>
      <w:tr w14:paraId="25A2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036" w:type="dxa"/>
            <w:vMerge w:val="continue"/>
            <w:vAlign w:val="center"/>
          </w:tcPr>
          <w:p w14:paraId="7F78E1F0">
            <w:pPr>
              <w:jc w:val="center"/>
              <w:rPr>
                <w:rFonts w:hint="eastAsia" w:ascii="仿宋" w:hAnsi="仿宋" w:eastAsia="仿宋" w:cs="仿宋"/>
                <w:color w:val="auto"/>
                <w:sz w:val="21"/>
                <w:szCs w:val="21"/>
                <w:vertAlign w:val="baseline"/>
                <w:lang w:val="en-US" w:eastAsia="zh-CN"/>
              </w:rPr>
            </w:pPr>
          </w:p>
        </w:tc>
        <w:tc>
          <w:tcPr>
            <w:tcW w:w="559" w:type="dxa"/>
            <w:vAlign w:val="center"/>
          </w:tcPr>
          <w:p w14:paraId="3D8CEABB">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16</w:t>
            </w:r>
          </w:p>
        </w:tc>
        <w:tc>
          <w:tcPr>
            <w:tcW w:w="1078" w:type="dxa"/>
            <w:vAlign w:val="center"/>
          </w:tcPr>
          <w:p w14:paraId="0D9355BD">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居家适老化改造</w:t>
            </w:r>
          </w:p>
        </w:tc>
        <w:tc>
          <w:tcPr>
            <w:tcW w:w="3722" w:type="dxa"/>
            <w:vAlign w:val="center"/>
          </w:tcPr>
          <w:p w14:paraId="10F7C750">
            <w:pPr>
              <w:ind w:firstLine="420" w:firstLineChars="200"/>
              <w:jc w:val="left"/>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为分散供养特困老年人家庭以及低保户对象中的高龄、失能、重度残疾的老年人家庭，通过政府补贴等方式，为经济困难老年人提供居家适老化改造服务。</w:t>
            </w:r>
          </w:p>
        </w:tc>
        <w:tc>
          <w:tcPr>
            <w:tcW w:w="764" w:type="dxa"/>
            <w:vAlign w:val="center"/>
          </w:tcPr>
          <w:p w14:paraId="14D835F4">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照护服务</w:t>
            </w:r>
          </w:p>
        </w:tc>
        <w:tc>
          <w:tcPr>
            <w:tcW w:w="1595" w:type="dxa"/>
            <w:vAlign w:val="center"/>
          </w:tcPr>
          <w:p w14:paraId="6B5A68F5">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tc>
      </w:tr>
      <w:tr w14:paraId="4A7A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36" w:type="dxa"/>
            <w:vMerge w:val="restart"/>
            <w:vAlign w:val="center"/>
          </w:tcPr>
          <w:p w14:paraId="4EBA6FCF">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经济困难的老年人</w:t>
            </w:r>
          </w:p>
        </w:tc>
        <w:tc>
          <w:tcPr>
            <w:tcW w:w="559" w:type="dxa"/>
            <w:vAlign w:val="center"/>
          </w:tcPr>
          <w:p w14:paraId="055A6E8F">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17</w:t>
            </w:r>
          </w:p>
        </w:tc>
        <w:tc>
          <w:tcPr>
            <w:tcW w:w="1078" w:type="dxa"/>
            <w:vAlign w:val="center"/>
          </w:tcPr>
          <w:p w14:paraId="69361A72">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护理补贴</w:t>
            </w:r>
          </w:p>
        </w:tc>
        <w:tc>
          <w:tcPr>
            <w:tcW w:w="3722" w:type="dxa"/>
            <w:vAlign w:val="center"/>
          </w:tcPr>
          <w:p w14:paraId="136128DD">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为经认定生活不能自理的经济困难的老年人提供护理补贴。</w:t>
            </w:r>
          </w:p>
        </w:tc>
        <w:tc>
          <w:tcPr>
            <w:tcW w:w="764" w:type="dxa"/>
            <w:vAlign w:val="center"/>
          </w:tcPr>
          <w:p w14:paraId="362D51F9">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134146A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tc>
      </w:tr>
      <w:tr w14:paraId="7AEB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036" w:type="dxa"/>
            <w:vMerge w:val="continue"/>
            <w:vAlign w:val="center"/>
          </w:tcPr>
          <w:p w14:paraId="0D66A611">
            <w:pPr>
              <w:jc w:val="center"/>
              <w:rPr>
                <w:rFonts w:hint="eastAsia" w:ascii="仿宋" w:hAnsi="仿宋" w:eastAsia="仿宋" w:cs="仿宋"/>
                <w:color w:val="auto"/>
                <w:sz w:val="21"/>
                <w:szCs w:val="21"/>
                <w:vertAlign w:val="baseline"/>
                <w:lang w:val="en-US" w:eastAsia="zh-CN"/>
              </w:rPr>
            </w:pPr>
          </w:p>
        </w:tc>
        <w:tc>
          <w:tcPr>
            <w:tcW w:w="559" w:type="dxa"/>
            <w:vAlign w:val="center"/>
          </w:tcPr>
          <w:p w14:paraId="066F0C9F">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18</w:t>
            </w:r>
          </w:p>
        </w:tc>
        <w:tc>
          <w:tcPr>
            <w:tcW w:w="1078" w:type="dxa"/>
            <w:vAlign w:val="center"/>
          </w:tcPr>
          <w:p w14:paraId="4304066A">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家庭养老支持服务</w:t>
            </w:r>
          </w:p>
        </w:tc>
        <w:tc>
          <w:tcPr>
            <w:tcW w:w="3722" w:type="dxa"/>
            <w:vAlign w:val="center"/>
          </w:tcPr>
          <w:p w14:paraId="23C10257">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符合条件的失能老年人家庭成员参加照护培训等相关职业技能培训的，按规定给予职业培训补贴。</w:t>
            </w:r>
          </w:p>
        </w:tc>
        <w:tc>
          <w:tcPr>
            <w:tcW w:w="764" w:type="dxa"/>
            <w:vAlign w:val="center"/>
          </w:tcPr>
          <w:p w14:paraId="7D9C471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照护服务</w:t>
            </w:r>
          </w:p>
        </w:tc>
        <w:tc>
          <w:tcPr>
            <w:tcW w:w="1595" w:type="dxa"/>
            <w:vAlign w:val="center"/>
          </w:tcPr>
          <w:p w14:paraId="10BF24FC">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县人社局</w:t>
            </w:r>
          </w:p>
          <w:p w14:paraId="0E774270">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tc>
      </w:tr>
      <w:tr w14:paraId="5475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036" w:type="dxa"/>
            <w:vAlign w:val="center"/>
          </w:tcPr>
          <w:p w14:paraId="2F6705F2">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纳入最低生活保障范围的老年人</w:t>
            </w:r>
          </w:p>
        </w:tc>
        <w:tc>
          <w:tcPr>
            <w:tcW w:w="559" w:type="dxa"/>
            <w:vAlign w:val="center"/>
          </w:tcPr>
          <w:p w14:paraId="519D399D">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19</w:t>
            </w:r>
          </w:p>
        </w:tc>
        <w:tc>
          <w:tcPr>
            <w:tcW w:w="1078" w:type="dxa"/>
            <w:vAlign w:val="center"/>
          </w:tcPr>
          <w:p w14:paraId="1C44B6AF">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最低社会保障</w:t>
            </w:r>
          </w:p>
        </w:tc>
        <w:tc>
          <w:tcPr>
            <w:tcW w:w="3722" w:type="dxa"/>
            <w:vAlign w:val="center"/>
          </w:tcPr>
          <w:p w14:paraId="391357DF">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对获得最低生活保障金后生活仍有困难的老年人，采取必要措施给予生活保障。</w:t>
            </w:r>
          </w:p>
        </w:tc>
        <w:tc>
          <w:tcPr>
            <w:tcW w:w="764" w:type="dxa"/>
            <w:vAlign w:val="center"/>
          </w:tcPr>
          <w:p w14:paraId="5C4900AE">
            <w:pPr>
              <w:jc w:val="center"/>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2E83332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tc>
      </w:tr>
      <w:tr w14:paraId="2F6E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dxa"/>
            <w:vAlign w:val="center"/>
          </w:tcPr>
          <w:p w14:paraId="46D44522">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w:t>
            </w:r>
          </w:p>
          <w:p w14:paraId="288831AA">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对象</w:t>
            </w:r>
          </w:p>
        </w:tc>
        <w:tc>
          <w:tcPr>
            <w:tcW w:w="1637" w:type="dxa"/>
            <w:gridSpan w:val="2"/>
            <w:vAlign w:val="center"/>
          </w:tcPr>
          <w:p w14:paraId="778C167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服务项目</w:t>
            </w:r>
          </w:p>
        </w:tc>
        <w:tc>
          <w:tcPr>
            <w:tcW w:w="3722" w:type="dxa"/>
            <w:vAlign w:val="center"/>
          </w:tcPr>
          <w:p w14:paraId="0DED7A78">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服务内容及标准</w:t>
            </w:r>
          </w:p>
        </w:tc>
        <w:tc>
          <w:tcPr>
            <w:tcW w:w="764" w:type="dxa"/>
            <w:vAlign w:val="center"/>
          </w:tcPr>
          <w:p w14:paraId="2210584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服务类型</w:t>
            </w:r>
          </w:p>
        </w:tc>
        <w:tc>
          <w:tcPr>
            <w:tcW w:w="1595" w:type="dxa"/>
            <w:vAlign w:val="center"/>
          </w:tcPr>
          <w:p w14:paraId="34FFF57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牵头责任部门</w:t>
            </w:r>
          </w:p>
        </w:tc>
      </w:tr>
      <w:tr w14:paraId="1650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1036" w:type="dxa"/>
            <w:vMerge w:val="restart"/>
            <w:vAlign w:val="center"/>
          </w:tcPr>
          <w:p w14:paraId="2F2136BF">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特困供养老年人</w:t>
            </w:r>
          </w:p>
        </w:tc>
        <w:tc>
          <w:tcPr>
            <w:tcW w:w="559" w:type="dxa"/>
            <w:vAlign w:val="center"/>
          </w:tcPr>
          <w:p w14:paraId="234F53D6">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20</w:t>
            </w:r>
          </w:p>
        </w:tc>
        <w:tc>
          <w:tcPr>
            <w:tcW w:w="1078" w:type="dxa"/>
            <w:vAlign w:val="center"/>
          </w:tcPr>
          <w:p w14:paraId="49DD47DF">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分散供养</w:t>
            </w:r>
          </w:p>
        </w:tc>
        <w:tc>
          <w:tcPr>
            <w:tcW w:w="3722" w:type="dxa"/>
            <w:vAlign w:val="center"/>
          </w:tcPr>
          <w:p w14:paraId="2775387F">
            <w:pPr>
              <w:ind w:firstLine="420" w:firstLineChars="200"/>
              <w:jc w:val="left"/>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无劳动能力、无生活来源、无法定赡养义务人或者其法定义务人无履行义务能力的，自愿选择在家供养的60周岁及以上特困老年人，民政部门给予分散供养，提供基本生活条件、疾病治疗、办理丧葬事宜等，基本生活标准不低于当地最低生活保障标准的1.3倍，对生活不能自理的按照有关规定给予照料。</w:t>
            </w:r>
          </w:p>
        </w:tc>
        <w:tc>
          <w:tcPr>
            <w:tcW w:w="764" w:type="dxa"/>
            <w:vAlign w:val="center"/>
          </w:tcPr>
          <w:p w14:paraId="1C2B21C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照护服务</w:t>
            </w:r>
          </w:p>
        </w:tc>
        <w:tc>
          <w:tcPr>
            <w:tcW w:w="1595" w:type="dxa"/>
            <w:vAlign w:val="center"/>
          </w:tcPr>
          <w:p w14:paraId="3E8AC363">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tc>
      </w:tr>
      <w:tr w14:paraId="75C6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1036" w:type="dxa"/>
            <w:vMerge w:val="continue"/>
            <w:vAlign w:val="center"/>
          </w:tcPr>
          <w:p w14:paraId="198FD2BA">
            <w:pPr>
              <w:jc w:val="center"/>
              <w:rPr>
                <w:rFonts w:hint="eastAsia" w:ascii="仿宋" w:hAnsi="仿宋" w:eastAsia="仿宋" w:cs="仿宋"/>
                <w:color w:val="auto"/>
                <w:sz w:val="21"/>
                <w:szCs w:val="21"/>
                <w:vertAlign w:val="baseline"/>
                <w:lang w:val="en-US" w:eastAsia="zh-CN"/>
              </w:rPr>
            </w:pPr>
          </w:p>
        </w:tc>
        <w:tc>
          <w:tcPr>
            <w:tcW w:w="559" w:type="dxa"/>
            <w:vAlign w:val="center"/>
          </w:tcPr>
          <w:p w14:paraId="79D9F841">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21</w:t>
            </w:r>
          </w:p>
        </w:tc>
        <w:tc>
          <w:tcPr>
            <w:tcW w:w="1078" w:type="dxa"/>
            <w:vAlign w:val="center"/>
          </w:tcPr>
          <w:p w14:paraId="368B8D5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集中供养</w:t>
            </w:r>
          </w:p>
        </w:tc>
        <w:tc>
          <w:tcPr>
            <w:tcW w:w="3722" w:type="dxa"/>
            <w:vAlign w:val="center"/>
          </w:tcPr>
          <w:p w14:paraId="3BF6AD88">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无劳动能力、无生活来源、无法定赡养义务人或者其法定义务人无履行义务能力的，自愿选择集中供养以及因失能等原因需要机构专业照护服务的60周岁及以上特困老年人，民政部门就近安排到相应供养服务机构，提供基本生活条件、疾病治疗、办理丧葬事宜等，基本生活标准不低于当地最低生活保障标准的1.3倍，对生活不能自理的按照有关规定给予照料。</w:t>
            </w:r>
          </w:p>
        </w:tc>
        <w:tc>
          <w:tcPr>
            <w:tcW w:w="764" w:type="dxa"/>
            <w:vAlign w:val="center"/>
          </w:tcPr>
          <w:p w14:paraId="57A51F70">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照护服务</w:t>
            </w:r>
          </w:p>
        </w:tc>
        <w:tc>
          <w:tcPr>
            <w:tcW w:w="1595" w:type="dxa"/>
            <w:vAlign w:val="center"/>
          </w:tcPr>
          <w:p w14:paraId="6CA388B0">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tc>
      </w:tr>
      <w:tr w14:paraId="33AF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764C098F">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特殊困难老年人</w:t>
            </w:r>
          </w:p>
        </w:tc>
        <w:tc>
          <w:tcPr>
            <w:tcW w:w="559" w:type="dxa"/>
            <w:vAlign w:val="center"/>
          </w:tcPr>
          <w:p w14:paraId="14AD1B24">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22</w:t>
            </w:r>
          </w:p>
        </w:tc>
        <w:tc>
          <w:tcPr>
            <w:tcW w:w="1078" w:type="dxa"/>
            <w:vAlign w:val="center"/>
          </w:tcPr>
          <w:p w14:paraId="6BDDB985">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探访服务</w:t>
            </w:r>
          </w:p>
        </w:tc>
        <w:tc>
          <w:tcPr>
            <w:tcW w:w="3722" w:type="dxa"/>
            <w:vAlign w:val="center"/>
          </w:tcPr>
          <w:p w14:paraId="1C62CC25">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为独居、空巢、留守、失能、重残、计划生育特殊家庭等特殊困难老年人，通过政府购买服务等方式，由基层组织、社会组织等开展居家探访与帮助服务。</w:t>
            </w:r>
          </w:p>
        </w:tc>
        <w:tc>
          <w:tcPr>
            <w:tcW w:w="764" w:type="dxa"/>
            <w:vAlign w:val="center"/>
          </w:tcPr>
          <w:p w14:paraId="2BC1D508">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关爱服务</w:t>
            </w:r>
          </w:p>
        </w:tc>
        <w:tc>
          <w:tcPr>
            <w:tcW w:w="1595" w:type="dxa"/>
            <w:vAlign w:val="center"/>
          </w:tcPr>
          <w:p w14:paraId="1AE3BFE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tc>
      </w:tr>
      <w:tr w14:paraId="2454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036" w:type="dxa"/>
            <w:vAlign w:val="center"/>
          </w:tcPr>
          <w:p w14:paraId="64097103">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对国家和社会作出贡献的老年人</w:t>
            </w:r>
          </w:p>
        </w:tc>
        <w:tc>
          <w:tcPr>
            <w:tcW w:w="559" w:type="dxa"/>
            <w:vAlign w:val="center"/>
          </w:tcPr>
          <w:p w14:paraId="7228AF36">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23</w:t>
            </w:r>
          </w:p>
        </w:tc>
        <w:tc>
          <w:tcPr>
            <w:tcW w:w="1078" w:type="dxa"/>
            <w:vAlign w:val="center"/>
          </w:tcPr>
          <w:p w14:paraId="73FA4B48">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集中供养</w:t>
            </w:r>
          </w:p>
        </w:tc>
        <w:tc>
          <w:tcPr>
            <w:tcW w:w="3722" w:type="dxa"/>
            <w:vAlign w:val="center"/>
          </w:tcPr>
          <w:p w14:paraId="091DBFF3">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烈士老人遗属、因公牺牲军人遗属、病故军人遗属和进入老年的残疾军人、复员军人、退伍军人，无法定赡养人、抚养人或者法定赡养人、抚养人无赡养、抚养能力且享受国家定期抚恤补助待遇的，提供集中供养、医疗等保障。</w:t>
            </w:r>
          </w:p>
        </w:tc>
        <w:tc>
          <w:tcPr>
            <w:tcW w:w="764" w:type="dxa"/>
            <w:vAlign w:val="center"/>
          </w:tcPr>
          <w:p w14:paraId="1A9F6056">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照护服务</w:t>
            </w:r>
          </w:p>
        </w:tc>
        <w:tc>
          <w:tcPr>
            <w:tcW w:w="1595" w:type="dxa"/>
            <w:vAlign w:val="center"/>
          </w:tcPr>
          <w:p w14:paraId="400A0F43">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县退役军人事务局</w:t>
            </w:r>
          </w:p>
        </w:tc>
      </w:tr>
      <w:tr w14:paraId="50F8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036" w:type="dxa"/>
            <w:vMerge w:val="restart"/>
            <w:vAlign w:val="center"/>
          </w:tcPr>
          <w:p w14:paraId="0C4C1454">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计划生育特殊家庭老年人</w:t>
            </w:r>
          </w:p>
        </w:tc>
        <w:tc>
          <w:tcPr>
            <w:tcW w:w="559" w:type="dxa"/>
            <w:vAlign w:val="center"/>
          </w:tcPr>
          <w:p w14:paraId="746C597D">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24</w:t>
            </w:r>
          </w:p>
        </w:tc>
        <w:tc>
          <w:tcPr>
            <w:tcW w:w="1078" w:type="dxa"/>
            <w:vAlign w:val="center"/>
          </w:tcPr>
          <w:p w14:paraId="4B1AB5DB">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优先享受机构养老</w:t>
            </w:r>
          </w:p>
        </w:tc>
        <w:tc>
          <w:tcPr>
            <w:tcW w:w="3722" w:type="dxa"/>
            <w:vAlign w:val="center"/>
          </w:tcPr>
          <w:p w14:paraId="316B04F7">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同等条件下优先入住政府投资兴建的养老机构。</w:t>
            </w:r>
          </w:p>
        </w:tc>
        <w:tc>
          <w:tcPr>
            <w:tcW w:w="764" w:type="dxa"/>
            <w:vAlign w:val="center"/>
          </w:tcPr>
          <w:p w14:paraId="005794E1">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照护服务</w:t>
            </w:r>
          </w:p>
        </w:tc>
        <w:tc>
          <w:tcPr>
            <w:tcW w:w="1595" w:type="dxa"/>
            <w:vAlign w:val="center"/>
          </w:tcPr>
          <w:p w14:paraId="7D2CA814">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tc>
      </w:tr>
      <w:tr w14:paraId="5DA0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036" w:type="dxa"/>
            <w:vMerge w:val="continue"/>
            <w:vAlign w:val="center"/>
          </w:tcPr>
          <w:p w14:paraId="265B5F36">
            <w:pPr>
              <w:jc w:val="center"/>
              <w:rPr>
                <w:rFonts w:hint="eastAsia" w:ascii="仿宋" w:hAnsi="仿宋" w:eastAsia="仿宋" w:cs="仿宋"/>
                <w:color w:val="auto"/>
                <w:sz w:val="21"/>
                <w:szCs w:val="21"/>
                <w:vertAlign w:val="baseline"/>
                <w:lang w:val="en-US" w:eastAsia="zh-CN"/>
              </w:rPr>
            </w:pPr>
          </w:p>
        </w:tc>
        <w:tc>
          <w:tcPr>
            <w:tcW w:w="559" w:type="dxa"/>
            <w:vAlign w:val="center"/>
          </w:tcPr>
          <w:p w14:paraId="20865CCB">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25</w:t>
            </w:r>
          </w:p>
        </w:tc>
        <w:tc>
          <w:tcPr>
            <w:tcW w:w="1078" w:type="dxa"/>
            <w:vAlign w:val="center"/>
          </w:tcPr>
          <w:p w14:paraId="7B575699">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奖励扶助</w:t>
            </w:r>
          </w:p>
        </w:tc>
        <w:tc>
          <w:tcPr>
            <w:tcW w:w="3722" w:type="dxa"/>
            <w:vAlign w:val="center"/>
          </w:tcPr>
          <w:p w14:paraId="4233D2E3">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为符合条件的计划生育特殊家庭老年人发放奖励扶助资金</w:t>
            </w:r>
          </w:p>
        </w:tc>
        <w:tc>
          <w:tcPr>
            <w:tcW w:w="764" w:type="dxa"/>
            <w:vAlign w:val="center"/>
          </w:tcPr>
          <w:p w14:paraId="275D967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1565E0A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县卫健局</w:t>
            </w:r>
          </w:p>
        </w:tc>
      </w:tr>
      <w:tr w14:paraId="71B5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36" w:type="dxa"/>
            <w:vAlign w:val="center"/>
          </w:tcPr>
          <w:p w14:paraId="4F36DFB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w:t>
            </w:r>
          </w:p>
          <w:p w14:paraId="2CFB158A">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对象</w:t>
            </w:r>
          </w:p>
        </w:tc>
        <w:tc>
          <w:tcPr>
            <w:tcW w:w="1637" w:type="dxa"/>
            <w:gridSpan w:val="2"/>
            <w:vAlign w:val="center"/>
          </w:tcPr>
          <w:p w14:paraId="1C15DB17">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服务项目</w:t>
            </w:r>
          </w:p>
        </w:tc>
        <w:tc>
          <w:tcPr>
            <w:tcW w:w="3722" w:type="dxa"/>
            <w:vAlign w:val="center"/>
          </w:tcPr>
          <w:p w14:paraId="1488FE24">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服务内容及标准</w:t>
            </w:r>
          </w:p>
        </w:tc>
        <w:tc>
          <w:tcPr>
            <w:tcW w:w="764" w:type="dxa"/>
            <w:vAlign w:val="center"/>
          </w:tcPr>
          <w:p w14:paraId="25563517">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服务类型</w:t>
            </w:r>
          </w:p>
        </w:tc>
        <w:tc>
          <w:tcPr>
            <w:tcW w:w="1595" w:type="dxa"/>
            <w:vAlign w:val="center"/>
          </w:tcPr>
          <w:p w14:paraId="214F53C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牵头责任部门</w:t>
            </w:r>
          </w:p>
        </w:tc>
      </w:tr>
      <w:tr w14:paraId="3960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1036" w:type="dxa"/>
            <w:vAlign w:val="center"/>
          </w:tcPr>
          <w:p w14:paraId="276A3A39">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经认定符合条件的残疾老年人</w:t>
            </w:r>
          </w:p>
        </w:tc>
        <w:tc>
          <w:tcPr>
            <w:tcW w:w="559" w:type="dxa"/>
            <w:vAlign w:val="center"/>
          </w:tcPr>
          <w:p w14:paraId="618BEC50">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26</w:t>
            </w:r>
          </w:p>
        </w:tc>
        <w:tc>
          <w:tcPr>
            <w:tcW w:w="1078" w:type="dxa"/>
            <w:vAlign w:val="center"/>
          </w:tcPr>
          <w:p w14:paraId="0EA495F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困难残疾人生活补贴和重度残疾人护理补贴</w:t>
            </w:r>
          </w:p>
        </w:tc>
        <w:tc>
          <w:tcPr>
            <w:tcW w:w="3722" w:type="dxa"/>
            <w:vAlign w:val="center"/>
          </w:tcPr>
          <w:p w14:paraId="41CE113E">
            <w:pPr>
              <w:ind w:firstLine="420" w:firstLineChars="2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为最低生活保障家庭中的残疾老年人（经认定符合条件的困难残疾老年人），按当地规定标准发放困难残疾老年人生活补贴，为残疾等级评定为二级及以上，且需要长期照护的重度残疾老年人提供护理补贴。</w:t>
            </w:r>
          </w:p>
        </w:tc>
        <w:tc>
          <w:tcPr>
            <w:tcW w:w="764" w:type="dxa"/>
            <w:vAlign w:val="center"/>
          </w:tcPr>
          <w:p w14:paraId="0A69BA6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6281B52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tc>
      </w:tr>
      <w:tr w14:paraId="3537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36" w:type="dxa"/>
            <w:vAlign w:val="center"/>
          </w:tcPr>
          <w:p w14:paraId="7C4E1457">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生活无着落的流浪、乞讨老年人</w:t>
            </w:r>
          </w:p>
        </w:tc>
        <w:tc>
          <w:tcPr>
            <w:tcW w:w="559" w:type="dxa"/>
            <w:vAlign w:val="center"/>
          </w:tcPr>
          <w:p w14:paraId="6681D57B">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27</w:t>
            </w:r>
          </w:p>
        </w:tc>
        <w:tc>
          <w:tcPr>
            <w:tcW w:w="1078" w:type="dxa"/>
            <w:vAlign w:val="center"/>
          </w:tcPr>
          <w:p w14:paraId="2F97DB5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社会救助</w:t>
            </w:r>
          </w:p>
        </w:tc>
        <w:tc>
          <w:tcPr>
            <w:tcW w:w="3722" w:type="dxa"/>
            <w:vAlign w:val="center"/>
          </w:tcPr>
          <w:p w14:paraId="1A793DB3">
            <w:pPr>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 xml:space="preserve">    依照有关规定给予救助。</w:t>
            </w:r>
          </w:p>
        </w:tc>
        <w:tc>
          <w:tcPr>
            <w:tcW w:w="764" w:type="dxa"/>
            <w:vAlign w:val="center"/>
          </w:tcPr>
          <w:p w14:paraId="44A515DF">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物质帮助</w:t>
            </w:r>
          </w:p>
        </w:tc>
        <w:tc>
          <w:tcPr>
            <w:tcW w:w="1595" w:type="dxa"/>
            <w:vAlign w:val="center"/>
          </w:tcPr>
          <w:p w14:paraId="3AB1DEB0">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县民政局</w:t>
            </w:r>
          </w:p>
        </w:tc>
      </w:tr>
    </w:tbl>
    <w:p w14:paraId="37FD89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lang w:val="en-US" w:eastAsia="zh-CN"/>
          <w14:textFill>
            <w14:solidFill>
              <w14:schemeClr w14:val="tx1"/>
            </w14:solidFill>
          </w14:textFill>
        </w:rPr>
      </w:pPr>
    </w:p>
    <w:p w14:paraId="0AE9182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p>
    <w:p w14:paraId="44F494D5"/>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12AB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76885" cy="2940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6885" cy="294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CA25A">
                          <w:pPr>
                            <w:pStyle w:val="2"/>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3.15pt;width:37.55pt;mso-position-horizontal:outside;mso-position-horizontal-relative:margin;z-index:251659264;mso-width-relative:page;mso-height-relative:page;" filled="f" stroked="f" coordsize="21600,21600" o:gfxdata="UEsDBAoAAAAAAIdO4kAAAAAAAAAAAAAAAAAEAAAAZHJzL1BLAwQUAAAACACHTuJA98GX29YAAAAG&#10;AQAADwAAAGRycy9kb3ducmV2LnhtbE2PO0/EMBCEeyT+g7VIdHd2EvFQyOYKHh2P4wAJOidekoh4&#10;HdlO7vj3mArK0Yxmvqk2BzuKhXwYHCNkawWCuHVm4A7h9eVudQkiRM1Gj44J4ZsCbOrjo0qXxu35&#10;mZZd7EQq4VBqhD7GqZQytD1ZHdZuIk7ep/NWxyR9J43X+1RuR5krdS6tHjgt9Hqi657ar91sEcb3&#10;4O8bFT+Wm+4hbp/k/HabPSKenmTqCkSkQ/wLwy9+Qoc6MTVuZhPEiJCORIRVXhQgkn1xloFoEPJC&#10;gawr+R+//gFQSwMEFAAAAAgAh07iQJKIfXQ4AgAAYQQAAA4AAABkcnMvZTJvRG9jLnhtbK1UzY7T&#10;MBC+I/EOlu80admWEjVdla2KkFbsSgVxdh2nsWR7jO02KQ8Ab8CJC3eeq8/BOD9dtHDYAxd3MjOe&#10;me+bz11cN1qRo3BegsnpeJRSIgyHQpp9Tj9+2LyYU+IDMwVTYEROT8LT6+XzZ4vaZmICFahCOIJF&#10;jM9qm9MqBJslieeV0MyPwAqDwRKcZgE/3T4pHKuxulbJJE1nSQ2usA648B696y5I+4ruKQWhLCUX&#10;a+AHLUzoqjqhWEBIvpLW02U7bVkKHu7K0otAVE4RaWhPbIL2Lp7JcsGyvWO2krwfgT1lhEeYNJMG&#10;m15KrVlg5ODkX6W05A48lGHEQScdkJYRRDFOH3GzrZgVLRak2tsL6f7/leXvj/eOyAKVQIlhGhd+&#10;/v7t/OPX+edXMo701NZnmLW1mBeaN9DE1N7v0RlRN6XT8RfxEIwjuacLuaIJhKPz6tVsPp9SwjE0&#10;eX2VptNYJXm4bJ0PbwVoEo2cOtxdSyk73vrQpQ4psZeBjVQK/SxThtQ5nb2cpu2FSwSLK4M9IoRu&#10;1GiFZtf08++gOCEsB50uvOUbic1vmQ/3zKEQEAk+lXCHR6kAm0BvUVKB+/Ivf8zH/WCUkhqFlVP/&#10;+cCcoES9M7i5qMLBcIOxGwxz0DeAWsVt4DStiRdcUINZOtCf8AWtYhcMMcOxV07DYN6ETt74ArlY&#10;rdqkg3VyX3UXUHeWhVuztTy26ahcHQKUsmU5UtTx0jOHymv31L+SKO0/v9ush3+G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3wZfb1gAAAAYBAAAPAAAAAAAAAAEAIAAAACIAAABkcnMvZG93bnJl&#10;di54bWxQSwECFAAUAAAACACHTuJAkoh9dDgCAABhBAAADgAAAAAAAAABACAAAAAlAQAAZHJzL2Uy&#10;b0RvYy54bWxQSwUGAAAAAAYABgBZAQAAzwUAAAAA&#10;">
              <v:fill on="f" focussize="0,0"/>
              <v:stroke on="f" weight="0.5pt"/>
              <v:imagedata o:title=""/>
              <o:lock v:ext="edit" aspectratio="f"/>
              <v:textbox inset="0mm,0mm,0mm,0mm">
                <w:txbxContent>
                  <w:p w14:paraId="70BCA25A">
                    <w:pPr>
                      <w:pStyle w:val="2"/>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2Y5MjkyMWQ3MWUwODg2MjM0YTM5MDQ0NWQ1NDEifQ=="/>
  </w:docVars>
  <w:rsids>
    <w:rsidRoot w:val="56BC29E7"/>
    <w:rsid w:val="56BC29E7"/>
    <w:rsid w:val="6F14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7451</Words>
  <Characters>7577</Characters>
  <Lines>0</Lines>
  <Paragraphs>0</Paragraphs>
  <TotalTime>0</TotalTime>
  <ScaleCrop>false</ScaleCrop>
  <LinksUpToDate>false</LinksUpToDate>
  <CharactersWithSpaces>7590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2024-11-07T08:58:00Z</dcterms:created>
  <dc:creator>云之南</dc:creator>
  <cp:lastModifiedBy>熊粑粑</cp:lastModifiedBy>
  <dcterms:modified xsi:type="dcterms:W3CDTF">2024-11-19T07:55:13Z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48B484ADA5D54D259B717EC039C02785_11</vt:lpwstr>
  </property>
</Properties>
</file>